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8B47" w14:textId="77777777" w:rsidR="0012573A" w:rsidRPr="00612E79" w:rsidRDefault="0012573A">
      <w:pPr>
        <w:pStyle w:val="Textkrper"/>
        <w:spacing w:before="3"/>
        <w:rPr>
          <w:rFonts w:ascii="Times New Roman"/>
          <w:sz w:val="11"/>
        </w:rPr>
      </w:pPr>
    </w:p>
    <w:p w14:paraId="05C0C424" w14:textId="61B45196" w:rsidR="0012573A" w:rsidRDefault="00612E79">
      <w:pPr>
        <w:pStyle w:val="Textkrper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261D88E" wp14:editId="3BF93007">
                <wp:extent cx="5875020" cy="1165860"/>
                <wp:effectExtent l="18415" t="14605" r="1206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16586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97C43" w14:textId="77777777" w:rsidR="0012573A" w:rsidRDefault="00CA7058">
                            <w:pPr>
                              <w:spacing w:before="47" w:line="229" w:lineRule="exact"/>
                              <w:ind w:right="96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Org.-Nr. 4.1</w:t>
                            </w:r>
                          </w:p>
                          <w:p w14:paraId="43C0F62C" w14:textId="77777777" w:rsidR="0012573A" w:rsidRDefault="00CA7058">
                            <w:pPr>
                              <w:ind w:left="3259" w:right="3259" w:firstLine="72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Satzung über das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Erheben</w:t>
                            </w:r>
                          </w:p>
                          <w:p w14:paraId="5CB0DC09" w14:textId="77777777" w:rsidR="0012573A" w:rsidRDefault="00CA7058">
                            <w:pPr>
                              <w:ind w:left="245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von Erschließungsbeiträgen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1D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6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" filled="f" strokeweight="1.44pt">
                <v:stroke linestyle="thinThin"/>
                <v:textbox inset="0,0,0,0">
                  <w:txbxContent>
                    <w:p w14:paraId="43197C43" w14:textId="77777777" w:rsidR="0012573A" w:rsidRDefault="00CA7058">
                      <w:pPr>
                        <w:spacing w:before="47" w:line="229" w:lineRule="exact"/>
                        <w:ind w:right="967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Org.-Nr. 4.1</w:t>
                      </w:r>
                    </w:p>
                    <w:p w14:paraId="43C0F62C" w14:textId="77777777" w:rsidR="0012573A" w:rsidRDefault="00CA7058">
                      <w:pPr>
                        <w:ind w:left="3259" w:right="3259" w:firstLine="72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Satzung über das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Erheben</w:t>
                      </w:r>
                    </w:p>
                    <w:p w14:paraId="5CB0DC09" w14:textId="77777777" w:rsidR="0012573A" w:rsidRDefault="00CA7058">
                      <w:pPr>
                        <w:ind w:left="245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von Erschließungsbeiträgen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14609" w14:textId="77777777" w:rsidR="0012573A" w:rsidRDefault="0012573A">
      <w:pPr>
        <w:pStyle w:val="Textkrper"/>
        <w:spacing w:before="8"/>
        <w:rPr>
          <w:rFonts w:ascii="Times New Roman"/>
          <w:sz w:val="13"/>
        </w:rPr>
      </w:pPr>
    </w:p>
    <w:p w14:paraId="3058A083" w14:textId="77777777" w:rsidR="0012573A" w:rsidRPr="00612E79" w:rsidRDefault="00CA7058">
      <w:pPr>
        <w:pStyle w:val="Textkrper"/>
        <w:spacing w:before="96"/>
        <w:ind w:left="198" w:right="186"/>
        <w:jc w:val="both"/>
      </w:pPr>
      <w:r w:rsidRPr="00612E79">
        <w:t>Aufgrund des § 132 des Baugesetzbuches (BauGB) in der Fassung der Bekanntmachung vom 23.09.2004 (BGBl. I S. 2414), zuletzt geändert durch Gesetz vom 21.06.2005 (BGBl. I</w:t>
      </w:r>
    </w:p>
    <w:p w14:paraId="531281E1" w14:textId="77777777" w:rsidR="0012573A" w:rsidRDefault="00CA7058">
      <w:pPr>
        <w:pStyle w:val="Textkrper"/>
        <w:spacing w:before="1"/>
        <w:ind w:left="198" w:right="187"/>
        <w:jc w:val="both"/>
      </w:pPr>
      <w:r w:rsidRPr="00612E79">
        <w:t>S. 1818), in Verbindung mit § 5 der Hessischen Gem</w:t>
      </w:r>
      <w:r w:rsidRPr="00612E79">
        <w:t xml:space="preserve">eindeordnung (HGO) in der Fassung der Bekanntmachung vom 07.03.2005 (GVBl. I S. 142), zuletzt geändert durch Gesetz vom 17.10.2005 (GVBl. I S. 674, 686), hat die Gemeindevertretung der Gemeinde Kaufungen in der Sitzung am 06. </w:t>
      </w:r>
      <w:r>
        <w:t>Juli 2006 folgende Neufassung</w:t>
      </w:r>
      <w:r>
        <w:rPr>
          <w:spacing w:val="-2"/>
        </w:rPr>
        <w:t xml:space="preserve"> </w:t>
      </w:r>
      <w:r>
        <w:t>der</w:t>
      </w:r>
    </w:p>
    <w:p w14:paraId="080D68BD" w14:textId="77777777" w:rsidR="0012573A" w:rsidRDefault="0012573A">
      <w:pPr>
        <w:pStyle w:val="Textkrper"/>
        <w:rPr>
          <w:sz w:val="24"/>
        </w:rPr>
      </w:pPr>
    </w:p>
    <w:p w14:paraId="0577BF87" w14:textId="77777777" w:rsidR="0012573A" w:rsidRDefault="0012573A">
      <w:pPr>
        <w:pStyle w:val="Textkrper"/>
        <w:spacing w:before="10"/>
        <w:rPr>
          <w:sz w:val="19"/>
        </w:rPr>
      </w:pPr>
    </w:p>
    <w:p w14:paraId="5DFB5F9B" w14:textId="77777777" w:rsidR="0012573A" w:rsidRPr="00612E79" w:rsidRDefault="00CA7058">
      <w:pPr>
        <w:spacing w:line="360" w:lineRule="auto"/>
        <w:ind w:left="2331" w:right="2342"/>
        <w:jc w:val="center"/>
        <w:rPr>
          <w:b/>
          <w:sz w:val="24"/>
        </w:rPr>
      </w:pPr>
      <w:r w:rsidRPr="00612E79">
        <w:rPr>
          <w:b/>
          <w:sz w:val="24"/>
        </w:rPr>
        <w:t>ERSCHLIESSUNGSBEITRAGSSATZUNG [EBS]</w:t>
      </w:r>
    </w:p>
    <w:p w14:paraId="0F8F94AE" w14:textId="77777777" w:rsidR="0012573A" w:rsidRPr="00612E79" w:rsidRDefault="0012573A">
      <w:pPr>
        <w:pStyle w:val="Textkrper"/>
        <w:rPr>
          <w:b/>
          <w:sz w:val="24"/>
        </w:rPr>
      </w:pPr>
    </w:p>
    <w:p w14:paraId="124782BF" w14:textId="77777777" w:rsidR="0012573A" w:rsidRPr="00612E79" w:rsidRDefault="00CA7058">
      <w:pPr>
        <w:pStyle w:val="Textkrper"/>
        <w:ind w:left="198"/>
      </w:pPr>
      <w:r w:rsidRPr="00612E79">
        <w:t>beschlossen:</w:t>
      </w:r>
    </w:p>
    <w:p w14:paraId="5C6FA151" w14:textId="77777777" w:rsidR="0012573A" w:rsidRPr="00612E79" w:rsidRDefault="0012573A">
      <w:pPr>
        <w:pStyle w:val="Textkrper"/>
        <w:spacing w:before="9"/>
        <w:rPr>
          <w:sz w:val="21"/>
        </w:rPr>
      </w:pPr>
    </w:p>
    <w:p w14:paraId="418C88A7" w14:textId="77777777" w:rsidR="0012573A" w:rsidRPr="00612E79" w:rsidRDefault="00CA7058">
      <w:pPr>
        <w:pStyle w:val="berschrift1"/>
        <w:spacing w:before="1"/>
      </w:pPr>
      <w:r w:rsidRPr="00612E79">
        <w:t>§ 1</w:t>
      </w:r>
    </w:p>
    <w:p w14:paraId="47633B8B" w14:textId="77777777" w:rsidR="0012573A" w:rsidRPr="00612E79" w:rsidRDefault="00CA7058">
      <w:pPr>
        <w:spacing w:line="252" w:lineRule="exact"/>
        <w:ind w:left="2346" w:right="2342"/>
        <w:jc w:val="center"/>
        <w:rPr>
          <w:b/>
        </w:rPr>
      </w:pPr>
      <w:r w:rsidRPr="00612E79">
        <w:rPr>
          <w:b/>
        </w:rPr>
        <w:t>Erheben von Erschließungsbeiträgen</w:t>
      </w:r>
    </w:p>
    <w:p w14:paraId="44F02B46" w14:textId="77777777" w:rsidR="0012573A" w:rsidRPr="00612E79" w:rsidRDefault="0012573A">
      <w:pPr>
        <w:pStyle w:val="Textkrper"/>
        <w:spacing w:before="2"/>
        <w:rPr>
          <w:b/>
        </w:rPr>
      </w:pPr>
    </w:p>
    <w:p w14:paraId="4CB8E5DC" w14:textId="77777777" w:rsidR="0012573A" w:rsidRPr="00612E79" w:rsidRDefault="00CA7058">
      <w:pPr>
        <w:pStyle w:val="Textkrper"/>
        <w:ind w:left="198"/>
      </w:pPr>
      <w:r w:rsidRPr="00612E79">
        <w:t>Zur Deckung des Aufwands für Erschließungsanlagen erhebt die Gemeinde Beiträge nach Maßgabe der §§ 127 ff. BauGB in Verbindung mit den Bestimmungen dieser Satzung.</w:t>
      </w:r>
    </w:p>
    <w:p w14:paraId="6C57030F" w14:textId="77777777" w:rsidR="0012573A" w:rsidRPr="00612E79" w:rsidRDefault="0012573A">
      <w:pPr>
        <w:pStyle w:val="Textkrper"/>
        <w:spacing w:before="9"/>
        <w:rPr>
          <w:sz w:val="21"/>
        </w:rPr>
      </w:pPr>
    </w:p>
    <w:p w14:paraId="611D43FE" w14:textId="77777777" w:rsidR="0012573A" w:rsidRPr="00612E79" w:rsidRDefault="00CA7058">
      <w:pPr>
        <w:pStyle w:val="berschrift1"/>
        <w:spacing w:line="240" w:lineRule="auto"/>
      </w:pPr>
      <w:r w:rsidRPr="00612E79">
        <w:t>§ 2</w:t>
      </w:r>
    </w:p>
    <w:p w14:paraId="3AC656B1" w14:textId="77777777" w:rsidR="0012573A" w:rsidRPr="00612E79" w:rsidRDefault="00CA7058">
      <w:pPr>
        <w:spacing w:before="1"/>
        <w:ind w:left="2345" w:right="2342"/>
        <w:jc w:val="center"/>
        <w:rPr>
          <w:b/>
          <w:sz w:val="20"/>
        </w:rPr>
      </w:pPr>
      <w:r w:rsidRPr="00612E79">
        <w:rPr>
          <w:b/>
          <w:sz w:val="20"/>
        </w:rPr>
        <w:t>Art und Umfang der Erschließungsanlagen</w:t>
      </w:r>
    </w:p>
    <w:p w14:paraId="65F8A1F6" w14:textId="77777777" w:rsidR="0012573A" w:rsidRPr="00612E79" w:rsidRDefault="0012573A">
      <w:pPr>
        <w:pStyle w:val="Textkrper"/>
        <w:spacing w:before="2"/>
        <w:rPr>
          <w:b/>
        </w:rPr>
      </w:pPr>
    </w:p>
    <w:p w14:paraId="0E6A3628" w14:textId="77777777" w:rsidR="0012573A" w:rsidRPr="00612E79" w:rsidRDefault="00CA7058">
      <w:pPr>
        <w:pStyle w:val="Textkrper"/>
        <w:ind w:left="198"/>
      </w:pPr>
      <w:r w:rsidRPr="00612E79">
        <w:t>Beitragsfähig ist der Aufwand für die in der Baulast der Gemeinde stehenden Erschließungs- anlagen in folgendem Umfang:</w:t>
      </w:r>
    </w:p>
    <w:p w14:paraId="1BAC6391" w14:textId="77777777" w:rsidR="0012573A" w:rsidRPr="00612E79" w:rsidRDefault="0012573A">
      <w:pPr>
        <w:pStyle w:val="Textkrper"/>
        <w:spacing w:before="10"/>
        <w:rPr>
          <w:sz w:val="10"/>
        </w:rPr>
      </w:pP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4092"/>
        <w:gridCol w:w="3048"/>
        <w:gridCol w:w="746"/>
      </w:tblGrid>
      <w:tr w:rsidR="0012573A" w:rsidRPr="00612E79" w14:paraId="7F6E01B6" w14:textId="77777777">
        <w:trPr>
          <w:trHeight w:val="310"/>
        </w:trPr>
        <w:tc>
          <w:tcPr>
            <w:tcW w:w="4092" w:type="dxa"/>
          </w:tcPr>
          <w:p w14:paraId="3F746CA5" w14:textId="77777777" w:rsidR="0012573A" w:rsidRPr="00612E79" w:rsidRDefault="00CA7058">
            <w:pPr>
              <w:pStyle w:val="TableParagraph"/>
              <w:spacing w:line="248" w:lineRule="exact"/>
              <w:ind w:left="57"/>
            </w:pPr>
            <w:r w:rsidRPr="00612E79">
              <w:t>1. Für öffentliche zum Anbau bestimmte</w:t>
            </w:r>
          </w:p>
        </w:tc>
        <w:tc>
          <w:tcPr>
            <w:tcW w:w="3048" w:type="dxa"/>
          </w:tcPr>
          <w:p w14:paraId="7078CDE8" w14:textId="77777777" w:rsidR="0012573A" w:rsidRPr="00612E79" w:rsidRDefault="00CA7058">
            <w:pPr>
              <w:pStyle w:val="TableParagraph"/>
              <w:spacing w:line="248" w:lineRule="exact"/>
              <w:ind w:left="30"/>
            </w:pPr>
            <w:r w:rsidRPr="00612E79">
              <w:t>Straßen, Wege und Plätze in:</w:t>
            </w:r>
          </w:p>
        </w:tc>
        <w:tc>
          <w:tcPr>
            <w:tcW w:w="746" w:type="dxa"/>
          </w:tcPr>
          <w:p w14:paraId="6580208F" w14:textId="77777777" w:rsidR="0012573A" w:rsidRPr="00612E79" w:rsidRDefault="0012573A">
            <w:pPr>
              <w:pStyle w:val="TableParagraph"/>
              <w:rPr>
                <w:rFonts w:ascii="Times New Roman"/>
              </w:rPr>
            </w:pPr>
          </w:p>
        </w:tc>
      </w:tr>
      <w:tr w:rsidR="0012573A" w14:paraId="046D5433" w14:textId="77777777">
        <w:trPr>
          <w:trHeight w:val="566"/>
        </w:trPr>
        <w:tc>
          <w:tcPr>
            <w:tcW w:w="4092" w:type="dxa"/>
          </w:tcPr>
          <w:p w14:paraId="3A44954F" w14:textId="77777777" w:rsidR="0012573A" w:rsidRDefault="00CA7058">
            <w:pPr>
              <w:pStyle w:val="TableParagraph"/>
              <w:spacing w:before="56" w:line="250" w:lineRule="atLeast"/>
              <w:ind w:left="786" w:hanging="372"/>
            </w:pPr>
            <w:r>
              <w:t>a) Wochenendhaus- und Kleingartengebieten</w:t>
            </w:r>
          </w:p>
        </w:tc>
        <w:tc>
          <w:tcPr>
            <w:tcW w:w="3048" w:type="dxa"/>
          </w:tcPr>
          <w:p w14:paraId="7420CAA4" w14:textId="77777777" w:rsidR="0012573A" w:rsidRPr="00612E79" w:rsidRDefault="0012573A">
            <w:pPr>
              <w:pStyle w:val="TableParagraph"/>
              <w:rPr>
                <w:sz w:val="27"/>
              </w:rPr>
            </w:pPr>
          </w:p>
          <w:p w14:paraId="290AF8B4" w14:textId="77777777" w:rsidR="0012573A" w:rsidRPr="00612E79" w:rsidRDefault="00CA7058">
            <w:pPr>
              <w:pStyle w:val="TableParagraph"/>
              <w:spacing w:line="236" w:lineRule="exact"/>
              <w:ind w:left="354"/>
            </w:pPr>
            <w:r w:rsidRPr="00612E79">
              <w:t>bis zu einer Breite von</w:t>
            </w:r>
          </w:p>
        </w:tc>
        <w:tc>
          <w:tcPr>
            <w:tcW w:w="746" w:type="dxa"/>
          </w:tcPr>
          <w:p w14:paraId="24F3E670" w14:textId="77777777" w:rsidR="0012573A" w:rsidRPr="00612E79" w:rsidRDefault="0012573A">
            <w:pPr>
              <w:pStyle w:val="TableParagraph"/>
              <w:rPr>
                <w:sz w:val="27"/>
              </w:rPr>
            </w:pPr>
          </w:p>
          <w:p w14:paraId="3BDC1062" w14:textId="77777777" w:rsidR="0012573A" w:rsidRDefault="00CA7058">
            <w:pPr>
              <w:pStyle w:val="TableParagraph"/>
              <w:spacing w:line="236" w:lineRule="exact"/>
              <w:ind w:right="49"/>
              <w:jc w:val="right"/>
            </w:pPr>
            <w:r>
              <w:t>7 m,</w:t>
            </w:r>
          </w:p>
        </w:tc>
      </w:tr>
      <w:tr w:rsidR="0012573A" w14:paraId="143E007D" w14:textId="77777777">
        <w:trPr>
          <w:trHeight w:val="1011"/>
        </w:trPr>
        <w:tc>
          <w:tcPr>
            <w:tcW w:w="4092" w:type="dxa"/>
          </w:tcPr>
          <w:p w14:paraId="7143DEC6" w14:textId="77777777" w:rsidR="0012573A" w:rsidRDefault="00CA7058">
            <w:pPr>
              <w:pStyle w:val="TableParagraph"/>
              <w:numPr>
                <w:ilvl w:val="0"/>
                <w:numId w:val="7"/>
              </w:numPr>
              <w:tabs>
                <w:tab w:val="left" w:pos="787"/>
              </w:tabs>
              <w:spacing w:line="249" w:lineRule="exact"/>
              <w:ind w:hanging="373"/>
            </w:pPr>
            <w:r>
              <w:t>Kleinsiedlungsgebieten</w:t>
            </w:r>
          </w:p>
          <w:p w14:paraId="53C63F40" w14:textId="77777777" w:rsidR="0012573A" w:rsidRPr="00612E79" w:rsidRDefault="00CA7058">
            <w:pPr>
              <w:pStyle w:val="TableParagraph"/>
              <w:numPr>
                <w:ilvl w:val="0"/>
                <w:numId w:val="7"/>
              </w:numPr>
              <w:tabs>
                <w:tab w:val="left" w:pos="787"/>
              </w:tabs>
              <w:spacing w:before="6" w:line="252" w:lineRule="exact"/>
              <w:ind w:right="525"/>
            </w:pPr>
            <w:r w:rsidRPr="00612E79">
              <w:t>Wohngebieten, Ferienhaus-, Campingplatz-, Dorf- und Mischgebieten</w:t>
            </w:r>
          </w:p>
        </w:tc>
        <w:tc>
          <w:tcPr>
            <w:tcW w:w="3048" w:type="dxa"/>
          </w:tcPr>
          <w:p w14:paraId="777554AF" w14:textId="77777777" w:rsidR="0012573A" w:rsidRDefault="00CA7058">
            <w:pPr>
              <w:pStyle w:val="TableParagraph"/>
              <w:spacing w:line="249" w:lineRule="exact"/>
              <w:ind w:right="764"/>
              <w:jc w:val="right"/>
            </w:pPr>
            <w:r>
              <w:t>"</w:t>
            </w:r>
          </w:p>
          <w:p w14:paraId="6B3EC6FE" w14:textId="77777777" w:rsidR="0012573A" w:rsidRDefault="0012573A">
            <w:pPr>
              <w:pStyle w:val="TableParagraph"/>
              <w:rPr>
                <w:sz w:val="24"/>
              </w:rPr>
            </w:pPr>
          </w:p>
          <w:p w14:paraId="6264DD35" w14:textId="77777777" w:rsidR="0012573A" w:rsidRDefault="0012573A">
            <w:pPr>
              <w:pStyle w:val="TableParagraph"/>
              <w:spacing w:before="10"/>
              <w:rPr>
                <w:sz w:val="19"/>
              </w:rPr>
            </w:pPr>
          </w:p>
          <w:p w14:paraId="5287197D" w14:textId="77777777" w:rsidR="0012573A" w:rsidRDefault="00CA7058">
            <w:pPr>
              <w:pStyle w:val="TableParagraph"/>
              <w:spacing w:before="1" w:line="237" w:lineRule="exact"/>
              <w:ind w:right="764"/>
              <w:jc w:val="right"/>
            </w:pPr>
            <w:r>
              <w:t>"</w:t>
            </w:r>
          </w:p>
        </w:tc>
        <w:tc>
          <w:tcPr>
            <w:tcW w:w="746" w:type="dxa"/>
          </w:tcPr>
          <w:p w14:paraId="23E9A515" w14:textId="77777777" w:rsidR="0012573A" w:rsidRDefault="00CA7058">
            <w:pPr>
              <w:pStyle w:val="TableParagraph"/>
              <w:spacing w:line="249" w:lineRule="exact"/>
              <w:ind w:left="143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m,</w:t>
            </w:r>
          </w:p>
          <w:p w14:paraId="556ED3D8" w14:textId="77777777" w:rsidR="0012573A" w:rsidRDefault="0012573A">
            <w:pPr>
              <w:pStyle w:val="TableParagraph"/>
              <w:rPr>
                <w:sz w:val="24"/>
              </w:rPr>
            </w:pPr>
          </w:p>
          <w:p w14:paraId="17C1EEAC" w14:textId="77777777" w:rsidR="0012573A" w:rsidRDefault="0012573A">
            <w:pPr>
              <w:pStyle w:val="TableParagraph"/>
              <w:spacing w:before="10"/>
              <w:rPr>
                <w:sz w:val="19"/>
              </w:rPr>
            </w:pPr>
          </w:p>
          <w:p w14:paraId="05EDF0DD" w14:textId="77777777" w:rsidR="0012573A" w:rsidRDefault="00CA7058">
            <w:pPr>
              <w:pStyle w:val="TableParagraph"/>
              <w:spacing w:before="1" w:line="237" w:lineRule="exact"/>
              <w:ind w:left="143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m,</w:t>
            </w:r>
          </w:p>
        </w:tc>
      </w:tr>
      <w:tr w:rsidR="0012573A" w14:paraId="293DE1AA" w14:textId="77777777">
        <w:trPr>
          <w:trHeight w:val="566"/>
        </w:trPr>
        <w:tc>
          <w:tcPr>
            <w:tcW w:w="4092" w:type="dxa"/>
          </w:tcPr>
          <w:p w14:paraId="29A589B6" w14:textId="77777777" w:rsidR="0012573A" w:rsidRPr="00612E79" w:rsidRDefault="00CA7058">
            <w:pPr>
              <w:pStyle w:val="TableParagraph"/>
              <w:ind w:left="789" w:right="314" w:hanging="375"/>
            </w:pPr>
            <w:r w:rsidRPr="00612E79">
              <w:t>d)  Kern-, Gewerbe-, Industrie- und sonstigen</w:t>
            </w:r>
            <w:r w:rsidRPr="00612E79">
              <w:rPr>
                <w:spacing w:val="-10"/>
              </w:rPr>
              <w:t xml:space="preserve"> </w:t>
            </w:r>
            <w:r w:rsidRPr="00612E79">
              <w:t>Sondergebieten</w:t>
            </w:r>
          </w:p>
        </w:tc>
        <w:tc>
          <w:tcPr>
            <w:tcW w:w="3048" w:type="dxa"/>
          </w:tcPr>
          <w:p w14:paraId="4EA0DDD6" w14:textId="77777777" w:rsidR="0012573A" w:rsidRPr="00612E79" w:rsidRDefault="0012573A">
            <w:pPr>
              <w:pStyle w:val="TableParagraph"/>
              <w:spacing w:before="8"/>
              <w:rPr>
                <w:sz w:val="21"/>
              </w:rPr>
            </w:pPr>
          </w:p>
          <w:p w14:paraId="0C6B48F7" w14:textId="77777777" w:rsidR="0012573A" w:rsidRDefault="00CA7058">
            <w:pPr>
              <w:pStyle w:val="TableParagraph"/>
              <w:ind w:right="764"/>
              <w:jc w:val="right"/>
            </w:pPr>
            <w:r>
              <w:t>"</w:t>
            </w:r>
          </w:p>
        </w:tc>
        <w:tc>
          <w:tcPr>
            <w:tcW w:w="746" w:type="dxa"/>
          </w:tcPr>
          <w:p w14:paraId="0ADAE6A1" w14:textId="77777777" w:rsidR="0012573A" w:rsidRDefault="0012573A">
            <w:pPr>
              <w:pStyle w:val="TableParagraph"/>
              <w:spacing w:before="8"/>
              <w:rPr>
                <w:sz w:val="21"/>
              </w:rPr>
            </w:pPr>
          </w:p>
          <w:p w14:paraId="0ACE5920" w14:textId="77777777" w:rsidR="0012573A" w:rsidRDefault="00CA7058">
            <w:pPr>
              <w:pStyle w:val="TableParagraph"/>
              <w:ind w:right="49"/>
              <w:jc w:val="right"/>
            </w:pPr>
            <w:r>
              <w:t>25 m,</w:t>
            </w:r>
          </w:p>
        </w:tc>
      </w:tr>
      <w:tr w:rsidR="0012573A" w14:paraId="6755B723" w14:textId="77777777">
        <w:trPr>
          <w:trHeight w:val="625"/>
        </w:trPr>
        <w:tc>
          <w:tcPr>
            <w:tcW w:w="4092" w:type="dxa"/>
          </w:tcPr>
          <w:p w14:paraId="460703B6" w14:textId="77777777" w:rsidR="0012573A" w:rsidRPr="00612E79" w:rsidRDefault="00CA7058">
            <w:pPr>
              <w:pStyle w:val="TableParagraph"/>
              <w:spacing w:before="57" w:line="252" w:lineRule="exact"/>
              <w:ind w:left="50"/>
            </w:pPr>
            <w:r w:rsidRPr="00612E79">
              <w:t>2. für Fuß- und Wohnwege</w:t>
            </w:r>
          </w:p>
          <w:p w14:paraId="16262580" w14:textId="77777777" w:rsidR="0012573A" w:rsidRPr="00612E79" w:rsidRDefault="00CA7058">
            <w:pPr>
              <w:pStyle w:val="TableParagraph"/>
              <w:spacing w:line="252" w:lineRule="exact"/>
              <w:ind w:left="410"/>
            </w:pPr>
            <w:r w:rsidRPr="00612E79">
              <w:t>(§ 127 Abs. 2 Nr. 2 BauGB)</w:t>
            </w:r>
          </w:p>
        </w:tc>
        <w:tc>
          <w:tcPr>
            <w:tcW w:w="3048" w:type="dxa"/>
          </w:tcPr>
          <w:p w14:paraId="507964CF" w14:textId="77777777" w:rsidR="0012573A" w:rsidRDefault="00CA7058">
            <w:pPr>
              <w:pStyle w:val="TableParagraph"/>
              <w:spacing w:before="57"/>
              <w:ind w:right="764"/>
              <w:jc w:val="right"/>
            </w:pPr>
            <w:r>
              <w:t>"</w:t>
            </w:r>
          </w:p>
        </w:tc>
        <w:tc>
          <w:tcPr>
            <w:tcW w:w="746" w:type="dxa"/>
          </w:tcPr>
          <w:p w14:paraId="5C1D33B6" w14:textId="77777777" w:rsidR="0012573A" w:rsidRDefault="00CA7058">
            <w:pPr>
              <w:pStyle w:val="TableParagraph"/>
              <w:spacing w:before="57"/>
              <w:ind w:right="49"/>
              <w:jc w:val="right"/>
            </w:pPr>
            <w:r>
              <w:t>6 m,</w:t>
            </w:r>
          </w:p>
        </w:tc>
      </w:tr>
      <w:tr w:rsidR="0012573A" w14:paraId="3411E59D" w14:textId="77777777">
        <w:trPr>
          <w:trHeight w:val="626"/>
        </w:trPr>
        <w:tc>
          <w:tcPr>
            <w:tcW w:w="4092" w:type="dxa"/>
          </w:tcPr>
          <w:p w14:paraId="5E5FBABD" w14:textId="77777777" w:rsidR="0012573A" w:rsidRPr="00612E79" w:rsidRDefault="00CA7058">
            <w:pPr>
              <w:pStyle w:val="TableParagraph"/>
              <w:spacing w:before="56"/>
              <w:ind w:left="50"/>
            </w:pPr>
            <w:r w:rsidRPr="00612E79">
              <w:t>3. für Sammelstraßen</w:t>
            </w:r>
          </w:p>
          <w:p w14:paraId="198BDC9F" w14:textId="77777777" w:rsidR="0012573A" w:rsidRPr="00612E79" w:rsidRDefault="00CA7058">
            <w:pPr>
              <w:pStyle w:val="TableParagraph"/>
              <w:spacing w:before="2"/>
              <w:ind w:left="410"/>
            </w:pPr>
            <w:r w:rsidRPr="00612E79">
              <w:t>(§ 127 Abs. 2 Nr. 3 BauGB)</w:t>
            </w:r>
          </w:p>
        </w:tc>
        <w:tc>
          <w:tcPr>
            <w:tcW w:w="3048" w:type="dxa"/>
          </w:tcPr>
          <w:p w14:paraId="259B922F" w14:textId="77777777" w:rsidR="0012573A" w:rsidRDefault="00CA7058">
            <w:pPr>
              <w:pStyle w:val="TableParagraph"/>
              <w:spacing w:before="56"/>
              <w:ind w:right="764"/>
              <w:jc w:val="right"/>
            </w:pPr>
            <w:r>
              <w:t>"</w:t>
            </w:r>
          </w:p>
        </w:tc>
        <w:tc>
          <w:tcPr>
            <w:tcW w:w="746" w:type="dxa"/>
          </w:tcPr>
          <w:p w14:paraId="5C43E76B" w14:textId="77777777" w:rsidR="0012573A" w:rsidRDefault="00CA7058">
            <w:pPr>
              <w:pStyle w:val="TableParagraph"/>
              <w:spacing w:before="56"/>
              <w:ind w:right="49"/>
              <w:jc w:val="right"/>
            </w:pPr>
            <w:r>
              <w:t>25 m,</w:t>
            </w:r>
          </w:p>
        </w:tc>
      </w:tr>
      <w:tr w:rsidR="0012573A" w14:paraId="0E6E30D0" w14:textId="77777777">
        <w:trPr>
          <w:trHeight w:val="817"/>
        </w:trPr>
        <w:tc>
          <w:tcPr>
            <w:tcW w:w="4092" w:type="dxa"/>
          </w:tcPr>
          <w:p w14:paraId="2DA28789" w14:textId="77777777" w:rsidR="0012573A" w:rsidRPr="00612E79" w:rsidRDefault="00CA7058">
            <w:pPr>
              <w:pStyle w:val="TableParagraph"/>
              <w:spacing w:before="56"/>
              <w:ind w:left="50"/>
            </w:pPr>
            <w:r w:rsidRPr="00612E79">
              <w:t>4. für unselbständige Park-</w:t>
            </w:r>
          </w:p>
          <w:p w14:paraId="4F3661E5" w14:textId="77777777" w:rsidR="0012573A" w:rsidRPr="00612E79" w:rsidRDefault="00CA7058">
            <w:pPr>
              <w:pStyle w:val="TableParagraph"/>
              <w:spacing w:before="6" w:line="252" w:lineRule="exact"/>
              <w:ind w:left="414" w:right="1187"/>
            </w:pPr>
            <w:r w:rsidRPr="00612E79">
              <w:t>flächen und Grünanlagen jeweils</w:t>
            </w:r>
          </w:p>
        </w:tc>
        <w:tc>
          <w:tcPr>
            <w:tcW w:w="3048" w:type="dxa"/>
          </w:tcPr>
          <w:p w14:paraId="745660D6" w14:textId="77777777" w:rsidR="0012573A" w:rsidRPr="00612E79" w:rsidRDefault="0012573A">
            <w:pPr>
              <w:pStyle w:val="TableParagraph"/>
              <w:rPr>
                <w:sz w:val="24"/>
              </w:rPr>
            </w:pPr>
          </w:p>
          <w:p w14:paraId="30CDD8FF" w14:textId="77777777" w:rsidR="0012573A" w:rsidRPr="00612E79" w:rsidRDefault="0012573A">
            <w:pPr>
              <w:pStyle w:val="TableParagraph"/>
              <w:spacing w:before="10"/>
              <w:rPr>
                <w:sz w:val="24"/>
              </w:rPr>
            </w:pPr>
          </w:p>
          <w:p w14:paraId="640A6DCD" w14:textId="77777777" w:rsidR="0012573A" w:rsidRDefault="00CA7058">
            <w:pPr>
              <w:pStyle w:val="TableParagraph"/>
              <w:spacing w:before="1" w:line="234" w:lineRule="exact"/>
              <w:ind w:right="764"/>
              <w:jc w:val="right"/>
            </w:pPr>
            <w:r>
              <w:t>"</w:t>
            </w:r>
          </w:p>
        </w:tc>
        <w:tc>
          <w:tcPr>
            <w:tcW w:w="746" w:type="dxa"/>
          </w:tcPr>
          <w:p w14:paraId="7F233007" w14:textId="77777777" w:rsidR="0012573A" w:rsidRDefault="0012573A">
            <w:pPr>
              <w:pStyle w:val="TableParagraph"/>
              <w:rPr>
                <w:sz w:val="24"/>
              </w:rPr>
            </w:pPr>
          </w:p>
          <w:p w14:paraId="03F68597" w14:textId="77777777" w:rsidR="0012573A" w:rsidRDefault="0012573A">
            <w:pPr>
              <w:pStyle w:val="TableParagraph"/>
              <w:spacing w:before="10"/>
              <w:rPr>
                <w:sz w:val="24"/>
              </w:rPr>
            </w:pPr>
          </w:p>
          <w:p w14:paraId="236FADE0" w14:textId="77777777" w:rsidR="0012573A" w:rsidRDefault="00CA7058">
            <w:pPr>
              <w:pStyle w:val="TableParagraph"/>
              <w:spacing w:before="1" w:line="234" w:lineRule="exact"/>
              <w:ind w:right="49"/>
              <w:jc w:val="right"/>
            </w:pPr>
            <w:r>
              <w:t>6 m,</w:t>
            </w:r>
          </w:p>
        </w:tc>
      </w:tr>
    </w:tbl>
    <w:p w14:paraId="34534526" w14:textId="77777777" w:rsidR="0012573A" w:rsidRPr="00612E79" w:rsidRDefault="00CA7058">
      <w:pPr>
        <w:pStyle w:val="Textkrper"/>
        <w:spacing w:before="117"/>
        <w:ind w:left="1129" w:right="877" w:hanging="365"/>
      </w:pPr>
      <w:r w:rsidRPr="00612E79">
        <w:t>5. für Parkflächen und Grünanlagen (§ 127 Abs. 2 Nr. 4 BauGB) jeweils bis zu 15 % aller im Abrechnungsgebiet liegenden Grundstücksflächen.</w:t>
      </w:r>
    </w:p>
    <w:p w14:paraId="7990955F" w14:textId="77777777" w:rsidR="0012573A" w:rsidRPr="00612E79" w:rsidRDefault="0012573A">
      <w:pPr>
        <w:sectPr w:rsidR="0012573A" w:rsidRPr="00612E79">
          <w:type w:val="continuous"/>
          <w:pgSz w:w="11900" w:h="16840"/>
          <w:pgMar w:top="1600" w:right="1220" w:bottom="280" w:left="1220" w:header="720" w:footer="720" w:gutter="0"/>
          <w:cols w:space="720"/>
        </w:sectPr>
      </w:pPr>
    </w:p>
    <w:p w14:paraId="3ABF6429" w14:textId="77777777" w:rsidR="0012573A" w:rsidRPr="00612E79" w:rsidRDefault="0012573A">
      <w:pPr>
        <w:pStyle w:val="Textkrper"/>
        <w:spacing w:before="2"/>
      </w:pPr>
    </w:p>
    <w:p w14:paraId="5B723C1B" w14:textId="77777777" w:rsidR="0012573A" w:rsidRPr="00612E79" w:rsidRDefault="00CA7058">
      <w:pPr>
        <w:pStyle w:val="Textkrper"/>
        <w:spacing w:before="96"/>
        <w:ind w:left="198" w:right="186"/>
        <w:jc w:val="both"/>
      </w:pPr>
      <w:r w:rsidRPr="00612E79">
        <w:t>Werden durch Erschließungsanlagen Gebiete mit unterschiedlicher Ausnutzbarkeit erschlos- sen, gilt d</w:t>
      </w:r>
      <w:r w:rsidRPr="00612E79">
        <w:t>ie größte Breite.</w:t>
      </w:r>
    </w:p>
    <w:p w14:paraId="4878AF06" w14:textId="77777777" w:rsidR="0012573A" w:rsidRPr="00612E79" w:rsidRDefault="0012573A">
      <w:pPr>
        <w:pStyle w:val="Textkrper"/>
        <w:spacing w:before="11"/>
        <w:rPr>
          <w:sz w:val="21"/>
        </w:rPr>
      </w:pPr>
    </w:p>
    <w:p w14:paraId="58DF6380" w14:textId="77777777" w:rsidR="0012573A" w:rsidRPr="00612E79" w:rsidRDefault="00CA7058">
      <w:pPr>
        <w:pStyle w:val="Textkrper"/>
        <w:ind w:left="198" w:right="186"/>
        <w:jc w:val="both"/>
      </w:pPr>
      <w:r w:rsidRPr="00612E79">
        <w:t>Enden Erschließungsanlagen mit einem Wendehammer, vergrößern sich die angegebenen Maße für den Bereich des Wendehammers auf das Anderthalbfache, mindestens aber um  10 m; Gleiches gilt für den Bereich der Einmündung in andere bzw. Kreuzu</w:t>
      </w:r>
      <w:r w:rsidRPr="00612E79">
        <w:t>ng mit anderen Erschließungsanlagen.</w:t>
      </w:r>
    </w:p>
    <w:p w14:paraId="0CF91C0A" w14:textId="77777777" w:rsidR="0012573A" w:rsidRPr="00612E79" w:rsidRDefault="0012573A">
      <w:pPr>
        <w:pStyle w:val="Textkrper"/>
        <w:rPr>
          <w:sz w:val="24"/>
        </w:rPr>
      </w:pPr>
    </w:p>
    <w:p w14:paraId="4BB56CBF" w14:textId="77777777" w:rsidR="0012573A" w:rsidRPr="00612E79" w:rsidRDefault="0012573A">
      <w:pPr>
        <w:pStyle w:val="Textkrper"/>
        <w:spacing w:before="10"/>
        <w:rPr>
          <w:sz w:val="19"/>
        </w:rPr>
      </w:pPr>
    </w:p>
    <w:p w14:paraId="0A19AF4F" w14:textId="77777777" w:rsidR="0012573A" w:rsidRDefault="00CA7058">
      <w:pPr>
        <w:pStyle w:val="berschrift1"/>
      </w:pPr>
      <w:r>
        <w:t>§ 3</w:t>
      </w:r>
    </w:p>
    <w:p w14:paraId="16672DF6" w14:textId="77777777" w:rsidR="0012573A" w:rsidRDefault="00CA7058">
      <w:pPr>
        <w:spacing w:line="252" w:lineRule="exact"/>
        <w:ind w:left="1140" w:right="1136"/>
        <w:jc w:val="center"/>
        <w:rPr>
          <w:b/>
        </w:rPr>
      </w:pPr>
      <w:r>
        <w:rPr>
          <w:b/>
        </w:rPr>
        <w:t>Ermittlung des beitragsfähigen Erschließungsaufwandes</w:t>
      </w:r>
    </w:p>
    <w:p w14:paraId="0F5AFC0E" w14:textId="77777777" w:rsidR="0012573A" w:rsidRDefault="0012573A">
      <w:pPr>
        <w:pStyle w:val="Textkrper"/>
        <w:spacing w:before="3"/>
        <w:rPr>
          <w:b/>
        </w:rPr>
      </w:pPr>
    </w:p>
    <w:p w14:paraId="308455B7" w14:textId="77777777" w:rsidR="0012573A" w:rsidRPr="00612E79" w:rsidRDefault="00CA7058">
      <w:pPr>
        <w:pStyle w:val="Listenabsatz"/>
        <w:numPr>
          <w:ilvl w:val="0"/>
          <w:numId w:val="6"/>
        </w:numPr>
        <w:tabs>
          <w:tab w:val="left" w:pos="765"/>
        </w:tabs>
        <w:jc w:val="both"/>
      </w:pPr>
      <w:r w:rsidRPr="00612E79">
        <w:t>Der beitragsfähige Aufwand wird nach tatsächlichen Kosten grundsätzlich für jede Er- schließungsanlage gesondert</w:t>
      </w:r>
      <w:r w:rsidRPr="00612E79">
        <w:rPr>
          <w:spacing w:val="-4"/>
        </w:rPr>
        <w:t xml:space="preserve"> </w:t>
      </w:r>
      <w:r w:rsidRPr="00612E79">
        <w:t>ermittelt.</w:t>
      </w:r>
    </w:p>
    <w:p w14:paraId="5FD922E6" w14:textId="77777777" w:rsidR="0012573A" w:rsidRPr="00612E79" w:rsidRDefault="0012573A">
      <w:pPr>
        <w:pStyle w:val="Textkrper"/>
        <w:spacing w:before="11"/>
        <w:rPr>
          <w:sz w:val="21"/>
        </w:rPr>
      </w:pPr>
    </w:p>
    <w:p w14:paraId="281CAE18" w14:textId="77777777" w:rsidR="0012573A" w:rsidRPr="00612E79" w:rsidRDefault="00CA7058">
      <w:pPr>
        <w:pStyle w:val="Listenabsatz"/>
        <w:numPr>
          <w:ilvl w:val="0"/>
          <w:numId w:val="6"/>
        </w:numPr>
        <w:tabs>
          <w:tab w:val="left" w:pos="765"/>
        </w:tabs>
        <w:jc w:val="both"/>
      </w:pPr>
      <w:r w:rsidRPr="00612E79">
        <w:t>Der Gemeindevorstand kann abweichend von Abs. 1 bestimmen, dass der beitragsfä- hige Aufwand für Abschnitte einer Erschließungsanlage oder für mehrere Anlagen, die für die Erschließung der Grundstücke eine Einheit bilden (Erschließungseinheit), ins- gesamt</w:t>
      </w:r>
      <w:r w:rsidRPr="00612E79">
        <w:t xml:space="preserve"> ermittelt wird.</w:t>
      </w:r>
    </w:p>
    <w:p w14:paraId="6F4F8EB4" w14:textId="77777777" w:rsidR="0012573A" w:rsidRPr="00612E79" w:rsidRDefault="0012573A">
      <w:pPr>
        <w:pStyle w:val="Textkrper"/>
        <w:rPr>
          <w:sz w:val="24"/>
        </w:rPr>
      </w:pPr>
    </w:p>
    <w:p w14:paraId="5A22943D" w14:textId="77777777" w:rsidR="0012573A" w:rsidRPr="00612E79" w:rsidRDefault="0012573A">
      <w:pPr>
        <w:pStyle w:val="Textkrper"/>
        <w:spacing w:before="10"/>
        <w:rPr>
          <w:sz w:val="19"/>
        </w:rPr>
      </w:pPr>
    </w:p>
    <w:p w14:paraId="7B9DC3F2" w14:textId="77777777" w:rsidR="0012573A" w:rsidRPr="00612E79" w:rsidRDefault="00CA7058">
      <w:pPr>
        <w:pStyle w:val="berschrift1"/>
        <w:spacing w:before="1"/>
      </w:pPr>
      <w:r w:rsidRPr="00612E79">
        <w:t>§ 4</w:t>
      </w:r>
    </w:p>
    <w:p w14:paraId="6E73084F" w14:textId="77777777" w:rsidR="0012573A" w:rsidRPr="00612E79" w:rsidRDefault="00CA7058">
      <w:pPr>
        <w:spacing w:line="252" w:lineRule="exact"/>
        <w:ind w:left="1140" w:right="1136"/>
        <w:jc w:val="center"/>
        <w:rPr>
          <w:b/>
        </w:rPr>
      </w:pPr>
      <w:r w:rsidRPr="00612E79">
        <w:rPr>
          <w:b/>
        </w:rPr>
        <w:t>Anteil der Gemeinde am beitragsfähigen Erschließungsaufwand</w:t>
      </w:r>
    </w:p>
    <w:p w14:paraId="4E12A008" w14:textId="77777777" w:rsidR="0012573A" w:rsidRPr="00612E79" w:rsidRDefault="0012573A">
      <w:pPr>
        <w:pStyle w:val="Textkrper"/>
        <w:spacing w:before="2"/>
        <w:rPr>
          <w:b/>
        </w:rPr>
      </w:pPr>
    </w:p>
    <w:p w14:paraId="3B922AF3" w14:textId="77777777" w:rsidR="0012573A" w:rsidRPr="00612E79" w:rsidRDefault="00CA7058">
      <w:pPr>
        <w:pStyle w:val="Textkrper"/>
        <w:ind w:left="198"/>
        <w:jc w:val="both"/>
      </w:pPr>
      <w:r w:rsidRPr="00612E79">
        <w:t>Die Gemeinde trägt 10 v. H. des beitragsfähigen Aufwands.</w:t>
      </w:r>
    </w:p>
    <w:p w14:paraId="71867029" w14:textId="77777777" w:rsidR="0012573A" w:rsidRPr="00612E79" w:rsidRDefault="0012573A">
      <w:pPr>
        <w:pStyle w:val="Textkrper"/>
        <w:rPr>
          <w:sz w:val="24"/>
        </w:rPr>
      </w:pPr>
    </w:p>
    <w:p w14:paraId="4D89C476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3942CE8A" w14:textId="77777777" w:rsidR="0012573A" w:rsidRPr="00612E79" w:rsidRDefault="00CA7058">
      <w:pPr>
        <w:pStyle w:val="berschrift1"/>
        <w:spacing w:line="240" w:lineRule="auto"/>
      </w:pPr>
      <w:r w:rsidRPr="00612E79">
        <w:t>§ 5</w:t>
      </w:r>
    </w:p>
    <w:p w14:paraId="52FA5EA5" w14:textId="77777777" w:rsidR="0012573A" w:rsidRPr="00612E79" w:rsidRDefault="00CA7058">
      <w:pPr>
        <w:spacing w:before="1"/>
        <w:ind w:left="2346" w:right="2340"/>
        <w:jc w:val="center"/>
        <w:rPr>
          <w:b/>
        </w:rPr>
      </w:pPr>
      <w:r w:rsidRPr="00612E79">
        <w:rPr>
          <w:b/>
        </w:rPr>
        <w:t>Verteilung</w:t>
      </w:r>
    </w:p>
    <w:p w14:paraId="6A0DC9F6" w14:textId="77777777" w:rsidR="0012573A" w:rsidRPr="00612E79" w:rsidRDefault="0012573A">
      <w:pPr>
        <w:pStyle w:val="Textkrper"/>
        <w:spacing w:before="1"/>
        <w:rPr>
          <w:b/>
        </w:rPr>
      </w:pPr>
    </w:p>
    <w:p w14:paraId="2E09E365" w14:textId="77777777" w:rsidR="0012573A" w:rsidRPr="00612E79" w:rsidRDefault="00CA7058">
      <w:pPr>
        <w:pStyle w:val="Textkrper"/>
        <w:ind w:left="198" w:right="186"/>
        <w:jc w:val="both"/>
      </w:pPr>
      <w:r w:rsidRPr="00612E79">
        <w:t>Der beitragsfähige Aufwand wird nach Abzug des Anteils der Gemeinde auf die erschlosse- nen Grun</w:t>
      </w:r>
      <w:r w:rsidRPr="00612E79">
        <w:t>dstücke (Abrechnungsgebiet) nach deren Flächen verteilt. Soweit eine unterschied- liche bauliche oder sonstige Nutzung zulässig ist, wird die Verteilung nach der Veranlagungsfläche vorgenommen. Die Veranlagungsfläche ergibt sich durch Vervielfachen der Gru</w:t>
      </w:r>
      <w:r w:rsidRPr="00612E79">
        <w:t>ndstücksfläche (§ 6) mit dem Nutzungsfaktor (§§ 7 bis 9).</w:t>
      </w:r>
    </w:p>
    <w:p w14:paraId="4C656B4A" w14:textId="77777777" w:rsidR="0012573A" w:rsidRPr="00612E79" w:rsidRDefault="0012573A">
      <w:pPr>
        <w:pStyle w:val="Textkrper"/>
        <w:rPr>
          <w:sz w:val="24"/>
        </w:rPr>
      </w:pPr>
    </w:p>
    <w:p w14:paraId="69D1C84D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2FFE2AAF" w14:textId="77777777" w:rsidR="0012573A" w:rsidRDefault="00CA7058">
      <w:pPr>
        <w:pStyle w:val="berschrift1"/>
        <w:spacing w:line="240" w:lineRule="auto"/>
      </w:pPr>
      <w:r>
        <w:t>§ 6</w:t>
      </w:r>
    </w:p>
    <w:p w14:paraId="44B846F4" w14:textId="77777777" w:rsidR="0012573A" w:rsidRDefault="00CA7058">
      <w:pPr>
        <w:spacing w:before="2"/>
        <w:ind w:left="2346" w:right="2340"/>
        <w:jc w:val="center"/>
        <w:rPr>
          <w:b/>
        </w:rPr>
      </w:pPr>
      <w:r>
        <w:rPr>
          <w:b/>
        </w:rPr>
        <w:t>Grundstücksfläche</w:t>
      </w:r>
    </w:p>
    <w:p w14:paraId="6C86CE23" w14:textId="77777777" w:rsidR="0012573A" w:rsidRDefault="0012573A">
      <w:pPr>
        <w:pStyle w:val="Textkrper"/>
        <w:rPr>
          <w:b/>
        </w:rPr>
      </w:pPr>
    </w:p>
    <w:p w14:paraId="0A9F0A35" w14:textId="77777777" w:rsidR="0012573A" w:rsidRPr="00612E79" w:rsidRDefault="00CA7058">
      <w:pPr>
        <w:pStyle w:val="Listenabsatz"/>
        <w:numPr>
          <w:ilvl w:val="0"/>
          <w:numId w:val="5"/>
        </w:numPr>
        <w:tabs>
          <w:tab w:val="left" w:pos="765"/>
        </w:tabs>
        <w:jc w:val="both"/>
      </w:pPr>
      <w:r w:rsidRPr="00612E79">
        <w:t>Als Grundstücksfläche im Sinne des § 5 gilt grundsätzlich die Fläche des Grundbuch- grundstücks.</w:t>
      </w:r>
    </w:p>
    <w:p w14:paraId="12573F8A" w14:textId="77777777" w:rsidR="0012573A" w:rsidRPr="00612E79" w:rsidRDefault="0012573A">
      <w:pPr>
        <w:pStyle w:val="Textkrper"/>
        <w:spacing w:before="2"/>
      </w:pPr>
    </w:p>
    <w:p w14:paraId="382D5206" w14:textId="77777777" w:rsidR="0012573A" w:rsidRPr="00612E79" w:rsidRDefault="00CA7058">
      <w:pPr>
        <w:pStyle w:val="Listenabsatz"/>
        <w:numPr>
          <w:ilvl w:val="0"/>
          <w:numId w:val="5"/>
        </w:numPr>
        <w:tabs>
          <w:tab w:val="left" w:pos="765"/>
        </w:tabs>
        <w:ind w:right="184"/>
        <w:jc w:val="both"/>
      </w:pPr>
      <w:r w:rsidRPr="00612E79">
        <w:t>Im Außenbereich gelegene Grundstücksteile bleiben unberücksichtigt; gehen Grundstücke vom unbeplanten Innenbereich in den Außenbereich über, wird die Flä- che</w:t>
      </w:r>
      <w:r w:rsidRPr="00612E79">
        <w:t xml:space="preserve"> zwischen der gemeinsamen Grenze der Grundstücke mit der Erschließungsanlage und einer im Abstand von 50 m dazu verlaufenden Linie berücksichtigt. Grenzen Grundstücke nicht unmittelbar an die Erschließungsanlage an oder sind sie nur mit ei- nem dem Grundst</w:t>
      </w:r>
      <w:r w:rsidRPr="00612E79">
        <w:t>ück dienenden Weg mit dieser verbunden, so wird die Fläche zwi- schen der Grundstücksgrenze, die der Erschließungsanlage zugewandt ist, und einer im Abstand von 50 m dazu verlaufenden Linie zugrunde gelegt; Grundstücksteile, die sich lediglich als wegemäßi</w:t>
      </w:r>
      <w:r w:rsidRPr="00612E79">
        <w:t>ge Verbindung zwischen Grundstück und Erschließungsan- lage darstellen, bleiben bei der Bestimmung der Grundstückstiefe unberücksichtigt, wenn sie an der breitesten Stelle 15 m nicht</w:t>
      </w:r>
      <w:r w:rsidRPr="00612E79">
        <w:rPr>
          <w:spacing w:val="-4"/>
        </w:rPr>
        <w:t xml:space="preserve"> </w:t>
      </w:r>
      <w:r w:rsidRPr="00612E79">
        <w:t>überschreiten.</w:t>
      </w:r>
    </w:p>
    <w:p w14:paraId="3DB06F32" w14:textId="77777777" w:rsidR="0012573A" w:rsidRPr="00612E79" w:rsidRDefault="0012573A">
      <w:pPr>
        <w:jc w:val="both"/>
        <w:sectPr w:rsidR="0012573A" w:rsidRPr="00612E79">
          <w:headerReference w:type="default" r:id="rId7"/>
          <w:pgSz w:w="11900" w:h="16840"/>
          <w:pgMar w:top="1600" w:right="1220" w:bottom="280" w:left="1220" w:header="692" w:footer="0" w:gutter="0"/>
          <w:pgNumType w:start="2"/>
          <w:cols w:space="720"/>
        </w:sectPr>
      </w:pPr>
    </w:p>
    <w:p w14:paraId="34A6A1CA" w14:textId="77777777" w:rsidR="0012573A" w:rsidRPr="00612E79" w:rsidRDefault="0012573A">
      <w:pPr>
        <w:pStyle w:val="Textkrper"/>
        <w:spacing w:before="2"/>
      </w:pPr>
    </w:p>
    <w:p w14:paraId="779986F0" w14:textId="77777777" w:rsidR="0012573A" w:rsidRPr="00612E79" w:rsidRDefault="00CA7058">
      <w:pPr>
        <w:pStyle w:val="Listenabsatz"/>
        <w:numPr>
          <w:ilvl w:val="0"/>
          <w:numId w:val="5"/>
        </w:numPr>
        <w:tabs>
          <w:tab w:val="left" w:pos="765"/>
        </w:tabs>
        <w:spacing w:before="96"/>
        <w:ind w:right="187"/>
        <w:jc w:val="both"/>
      </w:pPr>
      <w:r w:rsidRPr="00612E79">
        <w:t>Überschreitet die bauliche, gewerbliche oder sonstige (erschließungsbeitragsrechtlich relevante) Nutzung des Grundstücks die in Abs. 2 genannten Abstände, ist zusätzlich die Tiefe der übergreifenden Nutzung zu berücksichtigen, was auch dann gilt, wenn di</w:t>
      </w:r>
      <w:r w:rsidRPr="00612E79">
        <w:t>e Bebauung, gewerbliche oder sonstige Nutzung erst bei oder hinter der Begrenzung von 50 m</w:t>
      </w:r>
      <w:r w:rsidRPr="00612E79">
        <w:rPr>
          <w:spacing w:val="-2"/>
        </w:rPr>
        <w:t xml:space="preserve"> </w:t>
      </w:r>
      <w:r w:rsidRPr="00612E79">
        <w:t>beginnt.</w:t>
      </w:r>
    </w:p>
    <w:p w14:paraId="57DAAD1B" w14:textId="77777777" w:rsidR="0012573A" w:rsidRPr="00612E79" w:rsidRDefault="0012573A">
      <w:pPr>
        <w:pStyle w:val="Textkrper"/>
        <w:rPr>
          <w:sz w:val="24"/>
        </w:rPr>
      </w:pPr>
    </w:p>
    <w:p w14:paraId="7B2FD1D3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749196DE" w14:textId="77777777" w:rsidR="0012573A" w:rsidRDefault="00CA7058">
      <w:pPr>
        <w:pStyle w:val="berschrift1"/>
      </w:pPr>
      <w:r>
        <w:t>§ 7</w:t>
      </w:r>
    </w:p>
    <w:p w14:paraId="1055AF5F" w14:textId="77777777" w:rsidR="0012573A" w:rsidRDefault="00CA7058">
      <w:pPr>
        <w:spacing w:line="252" w:lineRule="exact"/>
        <w:ind w:left="2346" w:right="2342"/>
        <w:jc w:val="center"/>
        <w:rPr>
          <w:b/>
        </w:rPr>
      </w:pPr>
      <w:r>
        <w:rPr>
          <w:b/>
        </w:rPr>
        <w:t>Nutzungsfaktor in beplanten Gebieten</w:t>
      </w:r>
    </w:p>
    <w:p w14:paraId="42359891" w14:textId="77777777" w:rsidR="0012573A" w:rsidRDefault="0012573A">
      <w:pPr>
        <w:pStyle w:val="Textkrper"/>
        <w:spacing w:before="3"/>
        <w:rPr>
          <w:b/>
        </w:rPr>
      </w:pPr>
    </w:p>
    <w:p w14:paraId="1D2AD057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ind w:right="186"/>
        <w:jc w:val="both"/>
      </w:pPr>
      <w:r w:rsidRPr="00612E79">
        <w:t>Der Nutzungsfaktor in beplanten Gebieten bestimmt sich nach der Zahl der im Bebau- ungsplan festgesetzten Vollge</w:t>
      </w:r>
      <w:r w:rsidRPr="00612E79">
        <w:t xml:space="preserve">schosse. Hat ein neuer Bebauungsplan den Verfahrens- stand des § 33 Abs. 1 Nr. 1 BauGB erreicht, ist dieser maßgebend. Werden die Fest- setzungen des Bebauungsplans überschritten, ist die genehmigte oder vorhandene Zahl der Vollgeschosse, Gebäudehöhe oder </w:t>
      </w:r>
      <w:r w:rsidRPr="00612E79">
        <w:t>Baumassenzahl zugrunde zu</w:t>
      </w:r>
      <w:r w:rsidRPr="00612E79">
        <w:rPr>
          <w:spacing w:val="-13"/>
        </w:rPr>
        <w:t xml:space="preserve"> </w:t>
      </w:r>
      <w:r w:rsidRPr="00612E79">
        <w:t>legen.</w:t>
      </w:r>
    </w:p>
    <w:p w14:paraId="0E874F08" w14:textId="77777777" w:rsidR="0012573A" w:rsidRDefault="00CA7058">
      <w:pPr>
        <w:pStyle w:val="Textkrper"/>
        <w:spacing w:before="120" w:after="6"/>
        <w:ind w:left="764"/>
        <w:jc w:val="both"/>
      </w:pPr>
      <w:r>
        <w:t>Der Nutzungsfaktor beträgt:</w:t>
      </w: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4896"/>
        <w:gridCol w:w="1510"/>
      </w:tblGrid>
      <w:tr w:rsidR="0012573A" w14:paraId="2D194A5C" w14:textId="77777777">
        <w:trPr>
          <w:trHeight w:val="250"/>
        </w:trPr>
        <w:tc>
          <w:tcPr>
            <w:tcW w:w="4896" w:type="dxa"/>
          </w:tcPr>
          <w:p w14:paraId="77EFACEF" w14:textId="77777777" w:rsidR="0012573A" w:rsidRDefault="00CA7058">
            <w:pPr>
              <w:pStyle w:val="TableParagraph"/>
              <w:tabs>
                <w:tab w:val="left" w:pos="477"/>
              </w:tabs>
              <w:spacing w:line="231" w:lineRule="exact"/>
              <w:ind w:left="50"/>
            </w:pPr>
            <w:r>
              <w:t>a)</w:t>
            </w:r>
            <w:r>
              <w:tab/>
              <w:t>bei eingeschossiger Bebaubarkeit</w:t>
            </w:r>
          </w:p>
        </w:tc>
        <w:tc>
          <w:tcPr>
            <w:tcW w:w="1510" w:type="dxa"/>
          </w:tcPr>
          <w:p w14:paraId="40CA5485" w14:textId="77777777" w:rsidR="0012573A" w:rsidRDefault="00CA7058">
            <w:pPr>
              <w:pStyle w:val="TableParagraph"/>
              <w:spacing w:line="231" w:lineRule="exact"/>
              <w:ind w:left="969"/>
            </w:pPr>
            <w:r>
              <w:t>1,0,</w:t>
            </w:r>
          </w:p>
        </w:tc>
      </w:tr>
      <w:tr w:rsidR="0012573A" w14:paraId="50FB7384" w14:textId="77777777">
        <w:trPr>
          <w:trHeight w:val="251"/>
        </w:trPr>
        <w:tc>
          <w:tcPr>
            <w:tcW w:w="4896" w:type="dxa"/>
          </w:tcPr>
          <w:p w14:paraId="3E466F4F" w14:textId="77777777" w:rsidR="0012573A" w:rsidRDefault="00CA7058">
            <w:pPr>
              <w:pStyle w:val="TableParagraph"/>
              <w:tabs>
                <w:tab w:val="left" w:pos="477"/>
              </w:tabs>
              <w:spacing w:line="232" w:lineRule="exact"/>
              <w:ind w:left="50"/>
            </w:pPr>
            <w:r>
              <w:t>b)</w:t>
            </w:r>
            <w:r>
              <w:tab/>
              <w:t>bei zweigeschossiger Bebaubarkeit</w:t>
            </w:r>
          </w:p>
        </w:tc>
        <w:tc>
          <w:tcPr>
            <w:tcW w:w="1510" w:type="dxa"/>
          </w:tcPr>
          <w:p w14:paraId="2F28F2E8" w14:textId="77777777" w:rsidR="0012573A" w:rsidRDefault="00CA7058">
            <w:pPr>
              <w:pStyle w:val="TableParagraph"/>
              <w:spacing w:line="232" w:lineRule="exact"/>
              <w:ind w:left="969"/>
            </w:pPr>
            <w:r>
              <w:t>1,25,</w:t>
            </w:r>
          </w:p>
        </w:tc>
      </w:tr>
      <w:tr w:rsidR="0012573A" w14:paraId="0801F473" w14:textId="77777777">
        <w:trPr>
          <w:trHeight w:val="253"/>
        </w:trPr>
        <w:tc>
          <w:tcPr>
            <w:tcW w:w="4896" w:type="dxa"/>
          </w:tcPr>
          <w:p w14:paraId="598B627F" w14:textId="77777777" w:rsidR="0012573A" w:rsidRDefault="00CA7058">
            <w:pPr>
              <w:pStyle w:val="TableParagraph"/>
              <w:tabs>
                <w:tab w:val="left" w:pos="477"/>
              </w:tabs>
              <w:spacing w:line="233" w:lineRule="exact"/>
              <w:ind w:left="50"/>
            </w:pPr>
            <w:r>
              <w:t>c)</w:t>
            </w:r>
            <w:r>
              <w:tab/>
              <w:t>bei dreigeschossiger</w:t>
            </w:r>
            <w:r>
              <w:rPr>
                <w:spacing w:val="-3"/>
              </w:rPr>
              <w:t xml:space="preserve"> </w:t>
            </w:r>
            <w:r>
              <w:t>Bebaubarkeit</w:t>
            </w:r>
          </w:p>
        </w:tc>
        <w:tc>
          <w:tcPr>
            <w:tcW w:w="1510" w:type="dxa"/>
          </w:tcPr>
          <w:p w14:paraId="534E9048" w14:textId="77777777" w:rsidR="0012573A" w:rsidRDefault="00CA7058">
            <w:pPr>
              <w:pStyle w:val="TableParagraph"/>
              <w:spacing w:line="233" w:lineRule="exact"/>
              <w:ind w:left="969"/>
            </w:pPr>
            <w:r>
              <w:t>1,5,</w:t>
            </w:r>
          </w:p>
        </w:tc>
      </w:tr>
      <w:tr w:rsidR="0012573A" w14:paraId="27CD18CD" w14:textId="77777777">
        <w:trPr>
          <w:trHeight w:val="313"/>
        </w:trPr>
        <w:tc>
          <w:tcPr>
            <w:tcW w:w="4896" w:type="dxa"/>
          </w:tcPr>
          <w:p w14:paraId="4E0B8E88" w14:textId="77777777" w:rsidR="0012573A" w:rsidRDefault="00CA7058">
            <w:pPr>
              <w:pStyle w:val="TableParagraph"/>
              <w:tabs>
                <w:tab w:val="left" w:pos="477"/>
              </w:tabs>
              <w:spacing w:line="251" w:lineRule="exact"/>
              <w:ind w:left="50"/>
            </w:pPr>
            <w:r>
              <w:t>d)</w:t>
            </w:r>
            <w:r>
              <w:tab/>
              <w:t>bei viergeschossiger</w:t>
            </w:r>
            <w:r>
              <w:rPr>
                <w:spacing w:val="-3"/>
              </w:rPr>
              <w:t xml:space="preserve"> </w:t>
            </w:r>
            <w:r>
              <w:t>Bebaubarkeit</w:t>
            </w:r>
          </w:p>
        </w:tc>
        <w:tc>
          <w:tcPr>
            <w:tcW w:w="1510" w:type="dxa"/>
          </w:tcPr>
          <w:p w14:paraId="2C67DE6F" w14:textId="77777777" w:rsidR="0012573A" w:rsidRDefault="00CA7058">
            <w:pPr>
              <w:pStyle w:val="TableParagraph"/>
              <w:spacing w:line="251" w:lineRule="exact"/>
              <w:ind w:left="969"/>
            </w:pPr>
            <w:r>
              <w:t>1,75.</w:t>
            </w:r>
          </w:p>
        </w:tc>
      </w:tr>
      <w:tr w:rsidR="0012573A" w14:paraId="354306DE" w14:textId="77777777">
        <w:trPr>
          <w:trHeight w:val="565"/>
        </w:trPr>
        <w:tc>
          <w:tcPr>
            <w:tcW w:w="4896" w:type="dxa"/>
          </w:tcPr>
          <w:p w14:paraId="023D2719" w14:textId="77777777" w:rsidR="0012573A" w:rsidRPr="00612E79" w:rsidRDefault="00CA7058">
            <w:pPr>
              <w:pStyle w:val="TableParagraph"/>
              <w:spacing w:before="56" w:line="250" w:lineRule="atLeast"/>
              <w:ind w:left="50" w:right="1463"/>
            </w:pPr>
            <w:r w:rsidRPr="00612E79">
              <w:t>Bei jedem weiteren Vollgeschoss erhöht sich der Nutzungsfaktor um</w:t>
            </w:r>
          </w:p>
        </w:tc>
        <w:tc>
          <w:tcPr>
            <w:tcW w:w="1510" w:type="dxa"/>
          </w:tcPr>
          <w:p w14:paraId="7F11AD84" w14:textId="77777777" w:rsidR="0012573A" w:rsidRPr="00612E79" w:rsidRDefault="0012573A">
            <w:pPr>
              <w:pStyle w:val="TableParagraph"/>
              <w:rPr>
                <w:sz w:val="27"/>
              </w:rPr>
            </w:pPr>
          </w:p>
          <w:p w14:paraId="643A8D13" w14:textId="77777777" w:rsidR="0012573A" w:rsidRDefault="00CA7058">
            <w:pPr>
              <w:pStyle w:val="TableParagraph"/>
              <w:spacing w:line="234" w:lineRule="exact"/>
              <w:ind w:left="969"/>
            </w:pPr>
            <w:r>
              <w:t>0,25.</w:t>
            </w:r>
          </w:p>
        </w:tc>
      </w:tr>
    </w:tbl>
    <w:p w14:paraId="676B3AE1" w14:textId="77777777" w:rsidR="0012573A" w:rsidRDefault="0012573A">
      <w:pPr>
        <w:pStyle w:val="Textkrper"/>
        <w:spacing w:before="10"/>
        <w:rPr>
          <w:sz w:val="21"/>
        </w:rPr>
      </w:pPr>
    </w:p>
    <w:p w14:paraId="17BEA77A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ind w:right="184"/>
        <w:jc w:val="both"/>
      </w:pPr>
      <w:r w:rsidRPr="00612E79">
        <w:t>Ist nur die zulässige Gebäudehöhe (Traufhöhe) festgesetzt, gilt als Zahl der Vollge- schosse die höchst zulässige Höhe geteilt durch 2,2, wobei Bruchzahlen kaufmännisch auf- oder abgerundet werden. In Gewerbe-, Industrie- und Sondergebieten i. S. v. § 11 B</w:t>
      </w:r>
      <w:r w:rsidRPr="00612E79">
        <w:t>auNVO erfolgt die Teilung in Abweichung zu Satz 1 durch</w:t>
      </w:r>
      <w:r w:rsidRPr="00612E79">
        <w:rPr>
          <w:spacing w:val="-6"/>
        </w:rPr>
        <w:t xml:space="preserve"> </w:t>
      </w:r>
      <w:r w:rsidRPr="00612E79">
        <w:t>3,5.</w:t>
      </w:r>
    </w:p>
    <w:p w14:paraId="082BAFB7" w14:textId="77777777" w:rsidR="0012573A" w:rsidRPr="00612E79" w:rsidRDefault="0012573A">
      <w:pPr>
        <w:pStyle w:val="Textkrper"/>
      </w:pPr>
    </w:p>
    <w:p w14:paraId="0F00C265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ind w:right="184"/>
        <w:jc w:val="both"/>
      </w:pPr>
      <w:r w:rsidRPr="00612E79">
        <w:t>Ist weder die Zahl der Vollgeschosse noch die Gebäudehöhe, sondern nur eine Bau- massenzahl festgesetzt, ist sie durch 3,5 zu teilen, wobei Bruchzahlen kaufmännisch auf volle Zahlen auf- oder ab</w:t>
      </w:r>
      <w:r w:rsidRPr="00612E79">
        <w:t>gerundet</w:t>
      </w:r>
      <w:r w:rsidRPr="00612E79">
        <w:rPr>
          <w:spacing w:val="1"/>
        </w:rPr>
        <w:t xml:space="preserve"> </w:t>
      </w:r>
      <w:r w:rsidRPr="00612E79">
        <w:t>werden.</w:t>
      </w:r>
    </w:p>
    <w:p w14:paraId="2B2E5809" w14:textId="77777777" w:rsidR="0012573A" w:rsidRPr="00612E79" w:rsidRDefault="0012573A">
      <w:pPr>
        <w:pStyle w:val="Textkrper"/>
        <w:spacing w:before="10"/>
        <w:rPr>
          <w:sz w:val="21"/>
        </w:rPr>
      </w:pPr>
    </w:p>
    <w:p w14:paraId="2BF425B7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ind w:right="0"/>
        <w:jc w:val="both"/>
      </w:pPr>
      <w:r w:rsidRPr="00612E79">
        <w:t>Bei Grundstücken, für die der</w:t>
      </w:r>
      <w:r w:rsidRPr="00612E79">
        <w:rPr>
          <w:spacing w:val="-5"/>
        </w:rPr>
        <w:t xml:space="preserve"> </w:t>
      </w:r>
      <w:r w:rsidRPr="00612E79">
        <w:t>Bebauungsplan</w:t>
      </w:r>
    </w:p>
    <w:p w14:paraId="5057AC28" w14:textId="77777777" w:rsidR="0012573A" w:rsidRPr="00612E79" w:rsidRDefault="00CA7058">
      <w:pPr>
        <w:pStyle w:val="Listenabsatz"/>
        <w:numPr>
          <w:ilvl w:val="1"/>
          <w:numId w:val="4"/>
        </w:numPr>
        <w:tabs>
          <w:tab w:val="left" w:pos="1125"/>
        </w:tabs>
        <w:spacing w:before="121"/>
        <w:ind w:right="186"/>
        <w:jc w:val="both"/>
      </w:pPr>
      <w:r w:rsidRPr="00612E79">
        <w:t>Gemeinbedarfsflächen ohne Festsetzung der Anzahl der Vollgeschosse oder ande- rer Werte, anhand derer die Zahl der Vollgeschosse nach Abs. 2 und 3 festgestellt werden könnte, vorsieht, gilt</w:t>
      </w:r>
      <w:r w:rsidRPr="00612E79">
        <w:rPr>
          <w:spacing w:val="-3"/>
        </w:rPr>
        <w:t xml:space="preserve"> </w:t>
      </w:r>
      <w:r w:rsidRPr="00612E79">
        <w:t>1,25,</w:t>
      </w:r>
    </w:p>
    <w:p w14:paraId="4E7449BB" w14:textId="77777777" w:rsidR="0012573A" w:rsidRPr="00612E79" w:rsidRDefault="00CA7058">
      <w:pPr>
        <w:pStyle w:val="Listenabsatz"/>
        <w:numPr>
          <w:ilvl w:val="1"/>
          <w:numId w:val="4"/>
        </w:numPr>
        <w:tabs>
          <w:tab w:val="left" w:pos="1125"/>
        </w:tabs>
        <w:spacing w:before="120"/>
        <w:ind w:right="192"/>
        <w:jc w:val="both"/>
      </w:pPr>
      <w:r w:rsidRPr="00612E79">
        <w:t>nur gewerbliche Nutzung ohne Bebauung festsetzt oder bei denen die zulässige Bebauung im Verhältnis zu dieser Nutzung untergeordnete Bedeutung hat, gilt</w:t>
      </w:r>
      <w:r w:rsidRPr="00612E79">
        <w:rPr>
          <w:spacing w:val="-27"/>
        </w:rPr>
        <w:t xml:space="preserve"> </w:t>
      </w:r>
      <w:r w:rsidRPr="00612E79">
        <w:t>1,0,</w:t>
      </w:r>
    </w:p>
    <w:p w14:paraId="5E3D648C" w14:textId="77777777" w:rsidR="0012573A" w:rsidRPr="00612E79" w:rsidRDefault="00CA7058">
      <w:pPr>
        <w:pStyle w:val="Listenabsatz"/>
        <w:numPr>
          <w:ilvl w:val="1"/>
          <w:numId w:val="4"/>
        </w:numPr>
        <w:tabs>
          <w:tab w:val="left" w:pos="1125"/>
        </w:tabs>
        <w:spacing w:before="120"/>
        <w:ind w:right="186"/>
        <w:jc w:val="both"/>
      </w:pPr>
      <w:r w:rsidRPr="00612E79">
        <w:t>nur Friedhöfe, Freibäder, Sportplätze sowie sonstige Anlagen, die nach ihrer Zweckbestimmung</w:t>
      </w:r>
      <w:r w:rsidRPr="00612E79">
        <w:t xml:space="preserve"> im Wesentlichen nur in einer Ebene genutzt werden können, gestattet, gilt</w:t>
      </w:r>
      <w:r w:rsidRPr="00612E79">
        <w:rPr>
          <w:spacing w:val="-3"/>
        </w:rPr>
        <w:t xml:space="preserve"> </w:t>
      </w:r>
      <w:r w:rsidRPr="00612E79">
        <w:t>0,5,</w:t>
      </w:r>
    </w:p>
    <w:p w14:paraId="744731FD" w14:textId="77777777" w:rsidR="0012573A" w:rsidRPr="00612E79" w:rsidRDefault="00CA7058">
      <w:pPr>
        <w:pStyle w:val="Listenabsatz"/>
        <w:numPr>
          <w:ilvl w:val="1"/>
          <w:numId w:val="4"/>
        </w:numPr>
        <w:tabs>
          <w:tab w:val="left" w:pos="1125"/>
        </w:tabs>
        <w:spacing w:before="120"/>
        <w:ind w:right="0" w:hanging="361"/>
        <w:jc w:val="both"/>
      </w:pPr>
      <w:r w:rsidRPr="00612E79">
        <w:t>nur Garagen oder Stellplätze zulässt, gilt</w:t>
      </w:r>
      <w:r w:rsidRPr="00612E79">
        <w:rPr>
          <w:spacing w:val="-4"/>
        </w:rPr>
        <w:t xml:space="preserve"> </w:t>
      </w:r>
      <w:r w:rsidRPr="00612E79">
        <w:t>0,5</w:t>
      </w:r>
    </w:p>
    <w:p w14:paraId="6A559CA9" w14:textId="77777777" w:rsidR="0012573A" w:rsidRPr="00612E79" w:rsidRDefault="00CA7058">
      <w:pPr>
        <w:pStyle w:val="Listenabsatz"/>
        <w:numPr>
          <w:ilvl w:val="1"/>
          <w:numId w:val="4"/>
        </w:numPr>
        <w:tabs>
          <w:tab w:val="left" w:pos="1125"/>
        </w:tabs>
        <w:spacing w:before="119"/>
        <w:ind w:right="0" w:hanging="361"/>
        <w:jc w:val="both"/>
      </w:pPr>
      <w:r w:rsidRPr="00612E79">
        <w:t>Dauerklein-, Schreber- oder Freizeitgärten festsetzt, gilt</w:t>
      </w:r>
      <w:r w:rsidRPr="00612E79">
        <w:rPr>
          <w:spacing w:val="1"/>
        </w:rPr>
        <w:t xml:space="preserve"> </w:t>
      </w:r>
      <w:r w:rsidRPr="00612E79">
        <w:t>0,25,</w:t>
      </w:r>
    </w:p>
    <w:p w14:paraId="7167F302" w14:textId="77777777" w:rsidR="0012573A" w:rsidRPr="00612E79" w:rsidRDefault="00CA7058">
      <w:pPr>
        <w:pStyle w:val="Listenabsatz"/>
        <w:numPr>
          <w:ilvl w:val="1"/>
          <w:numId w:val="4"/>
        </w:numPr>
        <w:tabs>
          <w:tab w:val="left" w:pos="1120"/>
        </w:tabs>
        <w:spacing w:before="121"/>
        <w:ind w:left="1120" w:right="186"/>
        <w:jc w:val="both"/>
      </w:pPr>
      <w:r w:rsidRPr="00612E79">
        <w:t>Kirchengebäude oder ähnliche Gebäude mit religiöser Zweckbestimmung festsetzt, gilt</w:t>
      </w:r>
      <w:r w:rsidRPr="00612E79">
        <w:rPr>
          <w:spacing w:val="2"/>
        </w:rPr>
        <w:t xml:space="preserve"> </w:t>
      </w:r>
      <w:r w:rsidRPr="00612E79">
        <w:t>1,25</w:t>
      </w:r>
    </w:p>
    <w:p w14:paraId="3BE277FB" w14:textId="77777777" w:rsidR="0012573A" w:rsidRPr="00612E79" w:rsidRDefault="00CA7058">
      <w:pPr>
        <w:pStyle w:val="Textkrper"/>
        <w:spacing w:before="121"/>
        <w:ind w:left="764"/>
        <w:jc w:val="both"/>
      </w:pPr>
      <w:r w:rsidRPr="00612E79">
        <w:t>als Nutzungsfaktor, womit auch die Nutzungsart berücksichtigt ist.</w:t>
      </w:r>
    </w:p>
    <w:p w14:paraId="7A21B385" w14:textId="77777777" w:rsidR="0012573A" w:rsidRPr="00612E79" w:rsidRDefault="0012573A">
      <w:pPr>
        <w:pStyle w:val="Textkrper"/>
        <w:spacing w:before="9"/>
        <w:rPr>
          <w:sz w:val="21"/>
        </w:rPr>
      </w:pPr>
    </w:p>
    <w:p w14:paraId="79F0DF43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ind w:right="186"/>
        <w:jc w:val="both"/>
      </w:pPr>
      <w:r w:rsidRPr="00612E79">
        <w:t>Sind für ein Grundstück unterschiedliche Vollgeschosszahlen, Gebäudehöhen (Trauf- höhen) oder Bauma</w:t>
      </w:r>
      <w:r w:rsidRPr="00612E79">
        <w:t>ssenzahlen festgesetzt, ist der Nutzungsfaktor unter Beachtung dieser unterschiedlichen Werte zu</w:t>
      </w:r>
      <w:r w:rsidRPr="00612E79">
        <w:rPr>
          <w:spacing w:val="-1"/>
        </w:rPr>
        <w:t xml:space="preserve"> </w:t>
      </w:r>
      <w:r w:rsidRPr="00612E79">
        <w:t>ermitteln.</w:t>
      </w:r>
    </w:p>
    <w:p w14:paraId="28B2078D" w14:textId="77777777" w:rsidR="0012573A" w:rsidRDefault="0012573A">
      <w:pPr>
        <w:jc w:val="both"/>
        <w:sectPr w:rsidR="0012573A">
          <w:pgSz w:w="11900" w:h="16840"/>
          <w:pgMar w:top="1600" w:right="1220" w:bottom="280" w:left="1220" w:header="692" w:footer="0" w:gutter="0"/>
          <w:cols w:space="720"/>
        </w:sectPr>
      </w:pPr>
    </w:p>
    <w:p w14:paraId="50D86997" w14:textId="77777777" w:rsidR="0012573A" w:rsidRPr="00612E79" w:rsidRDefault="0012573A">
      <w:pPr>
        <w:pStyle w:val="Textkrper"/>
        <w:spacing w:before="2"/>
      </w:pPr>
    </w:p>
    <w:p w14:paraId="195796A1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spacing w:before="96"/>
        <w:ind w:right="187"/>
        <w:jc w:val="both"/>
      </w:pPr>
      <w:r w:rsidRPr="00612E79">
        <w:t>Enthält der Bebauungsplan keine Festsetzungen über die Anzahl der Vollgeschosse oder der Gebäudehöhe (Traufhöhe) oder der Baumass</w:t>
      </w:r>
      <w:r w:rsidRPr="00612E79">
        <w:t>enzahlen, anhand derer sich der Nutzungsfaktor ermitteln lässt, gelten die Vorschriften für den unbeplanten Innenbe- reich nach § 9</w:t>
      </w:r>
      <w:r w:rsidRPr="00612E79">
        <w:rPr>
          <w:spacing w:val="-5"/>
        </w:rPr>
        <w:t xml:space="preserve"> </w:t>
      </w:r>
      <w:r w:rsidRPr="00612E79">
        <w:t>entsprechend.</w:t>
      </w:r>
    </w:p>
    <w:p w14:paraId="503A70FC" w14:textId="77777777" w:rsidR="0012573A" w:rsidRPr="00612E79" w:rsidRDefault="0012573A">
      <w:pPr>
        <w:pStyle w:val="Textkrper"/>
      </w:pPr>
    </w:p>
    <w:p w14:paraId="6D0D4CDC" w14:textId="77777777" w:rsidR="0012573A" w:rsidRPr="00612E79" w:rsidRDefault="00CA7058">
      <w:pPr>
        <w:pStyle w:val="Listenabsatz"/>
        <w:numPr>
          <w:ilvl w:val="0"/>
          <w:numId w:val="4"/>
        </w:numPr>
        <w:tabs>
          <w:tab w:val="left" w:pos="765"/>
        </w:tabs>
        <w:ind w:right="186"/>
        <w:jc w:val="both"/>
      </w:pPr>
      <w:r w:rsidRPr="00612E79">
        <w:t>In Gewerbe-, Industrie- und Kerngebieten sowie in Sondergebieten nach § 11 BauNVO werden die ermittelten Vera</w:t>
      </w:r>
      <w:r w:rsidRPr="00612E79">
        <w:t>nlagungsflächen um 25 v. H. erhöht, wenn im Abrech- nungsgebiet auch Grundstücke mit anderer zulässiger Nutzungsart erschlossen wer- den.</w:t>
      </w:r>
    </w:p>
    <w:p w14:paraId="324A818B" w14:textId="77777777" w:rsidR="0012573A" w:rsidRPr="00612E79" w:rsidRDefault="0012573A">
      <w:pPr>
        <w:pStyle w:val="Textkrper"/>
        <w:rPr>
          <w:sz w:val="24"/>
        </w:rPr>
      </w:pPr>
    </w:p>
    <w:p w14:paraId="6F588171" w14:textId="77777777" w:rsidR="0012573A" w:rsidRPr="00612E79" w:rsidRDefault="0012573A">
      <w:pPr>
        <w:pStyle w:val="Textkrper"/>
        <w:spacing w:before="10"/>
        <w:rPr>
          <w:sz w:val="19"/>
        </w:rPr>
      </w:pPr>
    </w:p>
    <w:p w14:paraId="316AC4FC" w14:textId="77777777" w:rsidR="0012573A" w:rsidRPr="00612E79" w:rsidRDefault="00CA7058">
      <w:pPr>
        <w:pStyle w:val="berschrift1"/>
      </w:pPr>
      <w:r w:rsidRPr="00612E79">
        <w:t>§ 8</w:t>
      </w:r>
    </w:p>
    <w:p w14:paraId="6813D7FA" w14:textId="77777777" w:rsidR="0012573A" w:rsidRDefault="00CA7058">
      <w:pPr>
        <w:spacing w:line="252" w:lineRule="exact"/>
        <w:ind w:left="1143" w:right="1136"/>
        <w:jc w:val="center"/>
        <w:rPr>
          <w:b/>
        </w:rPr>
      </w:pPr>
      <w:r>
        <w:rPr>
          <w:b/>
        </w:rPr>
        <w:t>Nutzungsfaktor bei Bestehen einer Satzung nach § 34 Abs. 4 BauGB</w:t>
      </w:r>
    </w:p>
    <w:p w14:paraId="5C518941" w14:textId="77777777" w:rsidR="0012573A" w:rsidRPr="00612E79" w:rsidRDefault="0012573A">
      <w:pPr>
        <w:pStyle w:val="Textkrper"/>
        <w:spacing w:before="3"/>
        <w:rPr>
          <w:b/>
        </w:rPr>
      </w:pPr>
    </w:p>
    <w:p w14:paraId="3F0B70FC" w14:textId="77777777" w:rsidR="0012573A" w:rsidRPr="00612E79" w:rsidRDefault="00CA7058">
      <w:pPr>
        <w:pStyle w:val="Textkrper"/>
        <w:ind w:left="198" w:right="188"/>
        <w:jc w:val="both"/>
      </w:pPr>
      <w:r w:rsidRPr="00612E79">
        <w:t>Enthält eine Satzung nach § 34 Abs. 4 BauGB Festsetzungen nach § 9 Abs. 1, 2 und 4 BauGB, gelten die Regelungen des § 7 für die Ermittlung des Nutzungsfaktors entsprechend; ansonsten sind die Vorschriften des § 9 anzuwenden.</w:t>
      </w:r>
    </w:p>
    <w:p w14:paraId="34FA3C61" w14:textId="77777777" w:rsidR="0012573A" w:rsidRPr="00612E79" w:rsidRDefault="0012573A">
      <w:pPr>
        <w:pStyle w:val="Textkrper"/>
        <w:rPr>
          <w:sz w:val="24"/>
        </w:rPr>
      </w:pPr>
    </w:p>
    <w:p w14:paraId="7EEB1DFD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1CEA816D" w14:textId="77777777" w:rsidR="0012573A" w:rsidRDefault="00CA7058">
      <w:pPr>
        <w:pStyle w:val="berschrift1"/>
      </w:pPr>
      <w:r>
        <w:t>§ 9</w:t>
      </w:r>
    </w:p>
    <w:p w14:paraId="6B73F8A7" w14:textId="77777777" w:rsidR="0012573A" w:rsidRDefault="00CA7058">
      <w:pPr>
        <w:spacing w:line="252" w:lineRule="exact"/>
        <w:ind w:left="2346" w:right="2342"/>
        <w:jc w:val="center"/>
        <w:rPr>
          <w:b/>
        </w:rPr>
      </w:pPr>
      <w:r>
        <w:rPr>
          <w:b/>
        </w:rPr>
        <w:t>Nutzungsfaktor im unbepla</w:t>
      </w:r>
      <w:r>
        <w:rPr>
          <w:b/>
        </w:rPr>
        <w:t>nten Innenbereich</w:t>
      </w:r>
    </w:p>
    <w:p w14:paraId="5B171880" w14:textId="77777777" w:rsidR="0012573A" w:rsidRDefault="0012573A">
      <w:pPr>
        <w:pStyle w:val="Textkrper"/>
        <w:spacing w:before="3"/>
        <w:rPr>
          <w:b/>
        </w:rPr>
      </w:pPr>
    </w:p>
    <w:p w14:paraId="2013CDD4" w14:textId="77777777" w:rsidR="0012573A" w:rsidRPr="00612E79" w:rsidRDefault="00CA7058">
      <w:pPr>
        <w:pStyle w:val="Listenabsatz"/>
        <w:numPr>
          <w:ilvl w:val="0"/>
          <w:numId w:val="3"/>
        </w:numPr>
        <w:tabs>
          <w:tab w:val="left" w:pos="765"/>
        </w:tabs>
        <w:ind w:right="187"/>
        <w:jc w:val="both"/>
      </w:pPr>
      <w:r w:rsidRPr="00612E79">
        <w:t>Im unbeplanten Innenbereich wird zur Bestimmung des Nutzungsfaktors auf die Höchstzahl der tatsächlich vorhandenen Vollgeschosse</w:t>
      </w:r>
      <w:r w:rsidRPr="00612E79">
        <w:rPr>
          <w:spacing w:val="-4"/>
        </w:rPr>
        <w:t xml:space="preserve"> </w:t>
      </w:r>
      <w:r w:rsidRPr="00612E79">
        <w:t>abgestellt.</w:t>
      </w:r>
    </w:p>
    <w:p w14:paraId="32CC0400" w14:textId="77777777" w:rsidR="0012573A" w:rsidRPr="00612E79" w:rsidRDefault="00CA7058">
      <w:pPr>
        <w:pStyle w:val="Textkrper"/>
        <w:spacing w:before="120"/>
        <w:ind w:left="764" w:right="186"/>
        <w:jc w:val="both"/>
      </w:pPr>
      <w:r w:rsidRPr="00612E79">
        <w:t>Sind Grundstücke unbebaut, wird auf die Höchstzahl der in ihrer unmittelbaren Umge- bung vorhand</w:t>
      </w:r>
      <w:r w:rsidRPr="00612E79">
        <w:t>enen Vollgeschosse abgestellt.</w:t>
      </w:r>
    </w:p>
    <w:p w14:paraId="57C24080" w14:textId="77777777" w:rsidR="0012573A" w:rsidRPr="00612E79" w:rsidRDefault="0012573A">
      <w:pPr>
        <w:pStyle w:val="Textkrper"/>
      </w:pPr>
    </w:p>
    <w:p w14:paraId="523159CC" w14:textId="77777777" w:rsidR="0012573A" w:rsidRPr="00612E79" w:rsidRDefault="00CA7058">
      <w:pPr>
        <w:pStyle w:val="Listenabsatz"/>
        <w:numPr>
          <w:ilvl w:val="0"/>
          <w:numId w:val="3"/>
        </w:numPr>
        <w:tabs>
          <w:tab w:val="left" w:pos="765"/>
        </w:tabs>
        <w:ind w:right="187"/>
        <w:jc w:val="both"/>
      </w:pPr>
      <w:r w:rsidRPr="00612E79">
        <w:t>Ist im Bauwerk kein Vollgeschoss vorhanden, gilt als Zahl der Vollgeschosse die tat- sächliche Gebäudehöhe (Traufhöhe), geteilt durch 3,5, für insgesamt gewerblich oder industriell genutzte Grundstücke; durch 2,2 für alle in</w:t>
      </w:r>
      <w:r w:rsidRPr="00612E79">
        <w:t xml:space="preserve"> anderer Weise baulich genutzte Grundstücke. Bruchzahlen werden hierbei kaufmännisch auf volle Zahlen auf- oder ab- gerundet.</w:t>
      </w:r>
    </w:p>
    <w:p w14:paraId="4A4EC525" w14:textId="77777777" w:rsidR="0012573A" w:rsidRPr="00612E79" w:rsidRDefault="0012573A">
      <w:pPr>
        <w:pStyle w:val="Textkrper"/>
        <w:spacing w:before="1"/>
      </w:pPr>
    </w:p>
    <w:p w14:paraId="4AEDF4B5" w14:textId="77777777" w:rsidR="0012573A" w:rsidRPr="00612E79" w:rsidRDefault="00CA7058">
      <w:pPr>
        <w:pStyle w:val="Listenabsatz"/>
        <w:numPr>
          <w:ilvl w:val="0"/>
          <w:numId w:val="3"/>
        </w:numPr>
        <w:tabs>
          <w:tab w:val="left" w:pos="765"/>
        </w:tabs>
        <w:ind w:right="0"/>
        <w:jc w:val="both"/>
      </w:pPr>
      <w:r w:rsidRPr="00612E79">
        <w:t>Die in § 7 Abs. 1 festgesetzten Nutzungsfaktoren je Vollgeschoss gelten</w:t>
      </w:r>
      <w:r w:rsidRPr="00612E79">
        <w:rPr>
          <w:spacing w:val="-25"/>
        </w:rPr>
        <w:t xml:space="preserve"> </w:t>
      </w:r>
      <w:r w:rsidRPr="00612E79">
        <w:t>entsprechend.</w:t>
      </w:r>
    </w:p>
    <w:p w14:paraId="25D19C8C" w14:textId="77777777" w:rsidR="0012573A" w:rsidRPr="00612E79" w:rsidRDefault="0012573A">
      <w:pPr>
        <w:pStyle w:val="Textkrper"/>
        <w:spacing w:before="10"/>
        <w:rPr>
          <w:sz w:val="21"/>
        </w:rPr>
      </w:pPr>
    </w:p>
    <w:p w14:paraId="756F63B3" w14:textId="77777777" w:rsidR="0012573A" w:rsidRDefault="00CA7058">
      <w:pPr>
        <w:pStyle w:val="Listenabsatz"/>
        <w:numPr>
          <w:ilvl w:val="0"/>
          <w:numId w:val="3"/>
        </w:numPr>
        <w:tabs>
          <w:tab w:val="left" w:pos="765"/>
        </w:tabs>
        <w:ind w:right="0"/>
        <w:jc w:val="both"/>
      </w:pPr>
      <w:r>
        <w:t>Bei Grundstücken,</w:t>
      </w:r>
      <w:r>
        <w:rPr>
          <w:spacing w:val="1"/>
        </w:rPr>
        <w:t xml:space="preserve"> </w:t>
      </w:r>
      <w:r>
        <w:t>die</w:t>
      </w:r>
    </w:p>
    <w:p w14:paraId="4D50B6BF" w14:textId="77777777" w:rsidR="0012573A" w:rsidRPr="00612E79" w:rsidRDefault="00CA7058">
      <w:pPr>
        <w:pStyle w:val="Listenabsatz"/>
        <w:numPr>
          <w:ilvl w:val="1"/>
          <w:numId w:val="3"/>
        </w:numPr>
        <w:tabs>
          <w:tab w:val="left" w:pos="1190"/>
        </w:tabs>
        <w:spacing w:before="121"/>
        <w:ind w:right="190"/>
        <w:jc w:val="both"/>
      </w:pPr>
      <w:r w:rsidRPr="00612E79">
        <w:t>als Gemeinbedarfsflä</w:t>
      </w:r>
      <w:r w:rsidRPr="00612E79">
        <w:t>chen unbebaut oder im Verhältnis zu ihrer Größe unterge- ordnet bebaut sind (z. B. Festplatz u. Ä.), gilt</w:t>
      </w:r>
      <w:r w:rsidRPr="00612E79">
        <w:rPr>
          <w:spacing w:val="-5"/>
        </w:rPr>
        <w:t xml:space="preserve"> </w:t>
      </w:r>
      <w:r w:rsidRPr="00612E79">
        <w:t>0,5,</w:t>
      </w:r>
    </w:p>
    <w:p w14:paraId="2C7FACCE" w14:textId="77777777" w:rsidR="0012573A" w:rsidRPr="00612E79" w:rsidRDefault="00CA7058">
      <w:pPr>
        <w:pStyle w:val="Listenabsatz"/>
        <w:numPr>
          <w:ilvl w:val="1"/>
          <w:numId w:val="3"/>
        </w:numPr>
        <w:tabs>
          <w:tab w:val="left" w:pos="1190"/>
        </w:tabs>
        <w:spacing w:before="121"/>
        <w:jc w:val="both"/>
      </w:pPr>
      <w:r w:rsidRPr="00612E79">
        <w:t>nur gewerblich ohne Bebauung oder mit einer im Verhältnis zur gewerblichen Nut- zung untergeordneten Bebauung genutzt werden dürfen, gilt</w:t>
      </w:r>
      <w:r w:rsidRPr="00612E79">
        <w:rPr>
          <w:spacing w:val="-6"/>
        </w:rPr>
        <w:t xml:space="preserve"> </w:t>
      </w:r>
      <w:r w:rsidRPr="00612E79">
        <w:t>1,0,</w:t>
      </w:r>
    </w:p>
    <w:p w14:paraId="3915387F" w14:textId="77777777" w:rsidR="0012573A" w:rsidRPr="00612E79" w:rsidRDefault="00CA7058">
      <w:pPr>
        <w:pStyle w:val="Listenabsatz"/>
        <w:numPr>
          <w:ilvl w:val="1"/>
          <w:numId w:val="3"/>
        </w:numPr>
        <w:tabs>
          <w:tab w:val="left" w:pos="1190"/>
        </w:tabs>
        <w:spacing w:before="118"/>
        <w:ind w:right="186"/>
        <w:jc w:val="both"/>
      </w:pPr>
      <w:r w:rsidRPr="00612E79">
        <w:t xml:space="preserve">als Friedhöfe, Freibäder, Sportplätze sowie sonstige Anlagen, die nach ihrer Zweckbestimmung im Wesentlichen nur </w:t>
      </w:r>
      <w:r w:rsidRPr="00612E79">
        <w:t>in einer Ebene genutzt werden können, gilt</w:t>
      </w:r>
      <w:r w:rsidRPr="00612E79">
        <w:rPr>
          <w:spacing w:val="2"/>
        </w:rPr>
        <w:t xml:space="preserve"> </w:t>
      </w:r>
      <w:r w:rsidRPr="00612E79">
        <w:t>0,5,</w:t>
      </w:r>
    </w:p>
    <w:p w14:paraId="7E253BEC" w14:textId="77777777" w:rsidR="0012573A" w:rsidRPr="00612E79" w:rsidRDefault="00CA7058">
      <w:pPr>
        <w:pStyle w:val="Listenabsatz"/>
        <w:numPr>
          <w:ilvl w:val="1"/>
          <w:numId w:val="3"/>
        </w:numPr>
        <w:tabs>
          <w:tab w:val="left" w:pos="1193"/>
        </w:tabs>
        <w:spacing w:before="122"/>
        <w:ind w:left="1192" w:right="187" w:hanging="428"/>
        <w:jc w:val="both"/>
      </w:pPr>
      <w:r w:rsidRPr="00612E79">
        <w:t>wegen ihrer Größe nur mit Garagen bebaut, als Stellplatz oder in ähnlicher Weise genutzt werden können, gilt</w:t>
      </w:r>
      <w:r w:rsidRPr="00612E79">
        <w:rPr>
          <w:spacing w:val="-2"/>
        </w:rPr>
        <w:t xml:space="preserve"> </w:t>
      </w:r>
      <w:r w:rsidRPr="00612E79">
        <w:t>0,5,</w:t>
      </w:r>
    </w:p>
    <w:p w14:paraId="7578BA20" w14:textId="77777777" w:rsidR="0012573A" w:rsidRPr="00612E79" w:rsidRDefault="00CA7058">
      <w:pPr>
        <w:pStyle w:val="Listenabsatz"/>
        <w:numPr>
          <w:ilvl w:val="1"/>
          <w:numId w:val="3"/>
        </w:numPr>
        <w:tabs>
          <w:tab w:val="left" w:pos="1193"/>
        </w:tabs>
        <w:spacing w:before="120"/>
        <w:ind w:left="1192" w:hanging="428"/>
        <w:jc w:val="both"/>
      </w:pPr>
      <w:r w:rsidRPr="00612E79">
        <w:t>nur als  Dauerklein-,  Schreber-  oder  Freizeitgärten  genutzt  werden  können,  gilt</w:t>
      </w:r>
      <w:r w:rsidRPr="00612E79">
        <w:rPr>
          <w:spacing w:val="1"/>
        </w:rPr>
        <w:t xml:space="preserve"> </w:t>
      </w:r>
      <w:r w:rsidRPr="00612E79">
        <w:t>0,25,</w:t>
      </w:r>
    </w:p>
    <w:p w14:paraId="33896552" w14:textId="77777777" w:rsidR="0012573A" w:rsidRPr="00612E79" w:rsidRDefault="00CA7058">
      <w:pPr>
        <w:pStyle w:val="Listenabsatz"/>
        <w:numPr>
          <w:ilvl w:val="1"/>
          <w:numId w:val="3"/>
        </w:numPr>
        <w:tabs>
          <w:tab w:val="left" w:pos="1193"/>
        </w:tabs>
        <w:spacing w:before="118"/>
        <w:ind w:left="1192" w:right="189" w:hanging="428"/>
        <w:jc w:val="both"/>
      </w:pPr>
      <w:r w:rsidRPr="00612E79">
        <w:t>m</w:t>
      </w:r>
      <w:r w:rsidRPr="00612E79">
        <w:t>it Kirchengebäuden oder ähnlichen Gebäuden mit religiöser Zweckbestimmung bebaut sind, gilt 1,25</w:t>
      </w:r>
    </w:p>
    <w:p w14:paraId="3900D2D5" w14:textId="77777777" w:rsidR="0012573A" w:rsidRPr="00612E79" w:rsidRDefault="00CA7058">
      <w:pPr>
        <w:pStyle w:val="Textkrper"/>
        <w:spacing w:before="120"/>
        <w:ind w:left="764"/>
        <w:jc w:val="both"/>
      </w:pPr>
      <w:r w:rsidRPr="00612E79">
        <w:t>als Nutzungsfaktor, womit auch die Nutzungsart berücksichtigt ist.</w:t>
      </w:r>
    </w:p>
    <w:p w14:paraId="6FA4F943" w14:textId="77777777" w:rsidR="0012573A" w:rsidRDefault="0012573A">
      <w:pPr>
        <w:jc w:val="both"/>
        <w:sectPr w:rsidR="0012573A">
          <w:pgSz w:w="11900" w:h="16840"/>
          <w:pgMar w:top="1600" w:right="1220" w:bottom="280" w:left="1220" w:header="692" w:footer="0" w:gutter="0"/>
          <w:cols w:space="720"/>
        </w:sectPr>
      </w:pPr>
    </w:p>
    <w:p w14:paraId="26FB6EE9" w14:textId="77777777" w:rsidR="0012573A" w:rsidRPr="00612E79" w:rsidRDefault="0012573A">
      <w:pPr>
        <w:pStyle w:val="Textkrper"/>
        <w:spacing w:before="2"/>
      </w:pPr>
    </w:p>
    <w:p w14:paraId="16DAA5F5" w14:textId="77777777" w:rsidR="0012573A" w:rsidRPr="00612E79" w:rsidRDefault="00CA7058">
      <w:pPr>
        <w:pStyle w:val="Listenabsatz"/>
        <w:numPr>
          <w:ilvl w:val="0"/>
          <w:numId w:val="3"/>
        </w:numPr>
        <w:tabs>
          <w:tab w:val="left" w:pos="765"/>
        </w:tabs>
        <w:spacing w:before="96"/>
        <w:ind w:right="187"/>
        <w:jc w:val="both"/>
      </w:pPr>
      <w:r w:rsidRPr="00612E79">
        <w:t>In Gebieten, die aufgrund der vorhandenen im Wesentlichen gleichartigen B</w:t>
      </w:r>
      <w:r w:rsidRPr="00612E79">
        <w:t>ebauung oder sonstigen Nutzung als Kerngebiete mit einer nach § 7 Abs. 2, als Gewerbegebiete mit einer nach § 8 Abs. 2, als Industriegebiete mit einer nach § 9 Abs. 2 BauNVO zu- lässigen Nutzung oder als Sondergebiete i. S. d. § 11 BauNVO anzusehen sind, w</w:t>
      </w:r>
      <w:r w:rsidRPr="00612E79">
        <w:t>er- den die Veranlagungsflächen um 25 v. H. erhöht, wenn im Abrechnungsgebiet auch Grundstücke mit anderer Nutzungsart erschlossen</w:t>
      </w:r>
      <w:r w:rsidRPr="00612E79">
        <w:rPr>
          <w:spacing w:val="-5"/>
        </w:rPr>
        <w:t xml:space="preserve"> </w:t>
      </w:r>
      <w:r w:rsidRPr="00612E79">
        <w:t>werden.</w:t>
      </w:r>
    </w:p>
    <w:p w14:paraId="5D1D5C27" w14:textId="77777777" w:rsidR="0012573A" w:rsidRPr="00612E79" w:rsidRDefault="0012573A">
      <w:pPr>
        <w:pStyle w:val="Textkrper"/>
      </w:pPr>
    </w:p>
    <w:p w14:paraId="4A652E31" w14:textId="77777777" w:rsidR="0012573A" w:rsidRPr="00612E79" w:rsidRDefault="00CA7058">
      <w:pPr>
        <w:pStyle w:val="Listenabsatz"/>
        <w:numPr>
          <w:ilvl w:val="0"/>
          <w:numId w:val="3"/>
        </w:numPr>
        <w:tabs>
          <w:tab w:val="left" w:pos="765"/>
        </w:tabs>
        <w:jc w:val="both"/>
      </w:pPr>
      <w:r w:rsidRPr="00612E79">
        <w:t>In anderen als Gewerbe-, Industrie-, Kern- und Sondergebieten i. S. v. Abs. 5 sowie in Gebieten mit diffuser Nutzung</w:t>
      </w:r>
      <w:r w:rsidRPr="00612E79">
        <w:t xml:space="preserve"> gilt die in Abs. 5 vorgesehene Erhöhung für Grundstü- cke, die ausschließlich oder überwiegend gewerblich, industriell oder so genutzt wer- den, wie dies in Kerngebieten oder Sondergebieten nach § 11 BauNVO zulässig</w:t>
      </w:r>
      <w:r w:rsidRPr="00612E79">
        <w:rPr>
          <w:spacing w:val="-19"/>
        </w:rPr>
        <w:t xml:space="preserve"> </w:t>
      </w:r>
      <w:r w:rsidRPr="00612E79">
        <w:t>ist.</w:t>
      </w:r>
    </w:p>
    <w:p w14:paraId="26A9E877" w14:textId="77777777" w:rsidR="0012573A" w:rsidRPr="00612E79" w:rsidRDefault="0012573A">
      <w:pPr>
        <w:pStyle w:val="Textkrper"/>
        <w:rPr>
          <w:sz w:val="24"/>
        </w:rPr>
      </w:pPr>
    </w:p>
    <w:p w14:paraId="5F47EED3" w14:textId="77777777" w:rsidR="0012573A" w:rsidRPr="00612E79" w:rsidRDefault="0012573A">
      <w:pPr>
        <w:pStyle w:val="Textkrper"/>
        <w:spacing w:before="8"/>
        <w:rPr>
          <w:sz w:val="19"/>
        </w:rPr>
      </w:pPr>
    </w:p>
    <w:p w14:paraId="65A20D6F" w14:textId="77777777" w:rsidR="0012573A" w:rsidRDefault="00CA7058">
      <w:pPr>
        <w:pStyle w:val="berschrift1"/>
        <w:spacing w:line="240" w:lineRule="auto"/>
        <w:ind w:right="2340"/>
      </w:pPr>
      <w:r>
        <w:t>§ 10</w:t>
      </w:r>
    </w:p>
    <w:p w14:paraId="14EA5409" w14:textId="77777777" w:rsidR="0012573A" w:rsidRDefault="00CA7058">
      <w:pPr>
        <w:spacing w:before="2"/>
        <w:ind w:left="2346" w:right="2340"/>
        <w:jc w:val="center"/>
        <w:rPr>
          <w:b/>
        </w:rPr>
      </w:pPr>
      <w:r>
        <w:rPr>
          <w:b/>
        </w:rPr>
        <w:t>Mehrfach erschlossene Grundstücke</w:t>
      </w:r>
    </w:p>
    <w:p w14:paraId="7CA6A8A5" w14:textId="77777777" w:rsidR="0012573A" w:rsidRDefault="0012573A">
      <w:pPr>
        <w:pStyle w:val="Textkrper"/>
        <w:spacing w:before="2"/>
        <w:rPr>
          <w:b/>
        </w:rPr>
      </w:pPr>
    </w:p>
    <w:p w14:paraId="20A0B7CE" w14:textId="77777777" w:rsidR="0012573A" w:rsidRPr="00612E79" w:rsidRDefault="00CA7058">
      <w:pPr>
        <w:pStyle w:val="Listenabsatz"/>
        <w:numPr>
          <w:ilvl w:val="0"/>
          <w:numId w:val="2"/>
        </w:numPr>
        <w:tabs>
          <w:tab w:val="left" w:pos="765"/>
        </w:tabs>
        <w:spacing w:before="1"/>
        <w:ind w:right="187"/>
        <w:jc w:val="both"/>
      </w:pPr>
      <w:r w:rsidRPr="00612E79">
        <w:t>Bei durch mehrere gleichartige Erschließungsanlagen erschlossenen Grundstücken werden die nach den vorstehenden Regelungen ermittelten Berechnungsflächen für jede Erschließungsanlage nur mit zwei Dritteln zugrunde</w:t>
      </w:r>
      <w:r w:rsidRPr="00612E79">
        <w:rPr>
          <w:spacing w:val="-8"/>
        </w:rPr>
        <w:t xml:space="preserve"> </w:t>
      </w:r>
      <w:r w:rsidRPr="00612E79">
        <w:t>gelegt.</w:t>
      </w:r>
    </w:p>
    <w:p w14:paraId="50B82909" w14:textId="77777777" w:rsidR="0012573A" w:rsidRPr="00612E79" w:rsidRDefault="0012573A">
      <w:pPr>
        <w:pStyle w:val="Textkrper"/>
        <w:spacing w:before="9"/>
        <w:rPr>
          <w:sz w:val="21"/>
        </w:rPr>
      </w:pPr>
    </w:p>
    <w:p w14:paraId="440B17E2" w14:textId="77777777" w:rsidR="0012573A" w:rsidRPr="00612E79" w:rsidRDefault="00CA7058">
      <w:pPr>
        <w:pStyle w:val="Textkrper"/>
        <w:spacing w:before="1"/>
        <w:ind w:left="764"/>
      </w:pPr>
      <w:r w:rsidRPr="00612E79">
        <w:t>Dies gilt nur, wenn mindestens zwei Erschließungsanlagen voll in der Baulast der Ge- meinde stehen und</w:t>
      </w:r>
    </w:p>
    <w:p w14:paraId="78A01C3B" w14:textId="77777777" w:rsidR="0012573A" w:rsidRPr="00612E79" w:rsidRDefault="00CA7058">
      <w:pPr>
        <w:pStyle w:val="Listenabsatz"/>
        <w:numPr>
          <w:ilvl w:val="1"/>
          <w:numId w:val="2"/>
        </w:numPr>
        <w:tabs>
          <w:tab w:val="left" w:pos="1125"/>
        </w:tabs>
        <w:spacing w:before="120"/>
        <w:ind w:right="190"/>
      </w:pPr>
      <w:r w:rsidRPr="00612E79">
        <w:t>für eine der Erschließungsanlagen bereits vor In-Kraft-Treten dieser Satzung Bei- träge für die erstmalige Herstellung entrichtet worden sind</w:t>
      </w:r>
      <w:r w:rsidRPr="00612E79">
        <w:rPr>
          <w:spacing w:val="-8"/>
        </w:rPr>
        <w:t xml:space="preserve"> </w:t>
      </w:r>
      <w:r w:rsidRPr="00612E79">
        <w:t>oder</w:t>
      </w:r>
    </w:p>
    <w:p w14:paraId="3167E930" w14:textId="77777777" w:rsidR="0012573A" w:rsidRPr="00612E79" w:rsidRDefault="00CA7058">
      <w:pPr>
        <w:pStyle w:val="Listenabsatz"/>
        <w:numPr>
          <w:ilvl w:val="1"/>
          <w:numId w:val="2"/>
        </w:numPr>
        <w:tabs>
          <w:tab w:val="left" w:pos="1125"/>
        </w:tabs>
        <w:spacing w:before="120"/>
        <w:ind w:left="1122" w:right="192" w:hanging="358"/>
      </w:pPr>
      <w:r w:rsidRPr="00612E79">
        <w:t>eine</w:t>
      </w:r>
      <w:r w:rsidRPr="00612E79">
        <w:t xml:space="preserve"> Erschließungsbeitragspflicht entstanden ist und noch geltend gemacht werden kann</w:t>
      </w:r>
      <w:r w:rsidRPr="00612E79">
        <w:rPr>
          <w:spacing w:val="-2"/>
        </w:rPr>
        <w:t xml:space="preserve"> </w:t>
      </w:r>
      <w:r w:rsidRPr="00612E79">
        <w:t>oder</w:t>
      </w:r>
    </w:p>
    <w:p w14:paraId="7A69A3AF" w14:textId="77777777" w:rsidR="0012573A" w:rsidRPr="00612E79" w:rsidRDefault="00CA7058">
      <w:pPr>
        <w:pStyle w:val="Listenabsatz"/>
        <w:numPr>
          <w:ilvl w:val="1"/>
          <w:numId w:val="2"/>
        </w:numPr>
        <w:tabs>
          <w:tab w:val="left" w:pos="1125"/>
        </w:tabs>
        <w:spacing w:before="121"/>
        <w:ind w:right="0" w:hanging="361"/>
      </w:pPr>
      <w:r w:rsidRPr="00612E79">
        <w:t>nach dem In-Kraft-Treten dieser Satzung erstmals hergestellt</w:t>
      </w:r>
      <w:r w:rsidRPr="00612E79">
        <w:rPr>
          <w:spacing w:val="-4"/>
        </w:rPr>
        <w:t xml:space="preserve"> </w:t>
      </w:r>
      <w:r w:rsidRPr="00612E79">
        <w:t>werden.</w:t>
      </w:r>
    </w:p>
    <w:p w14:paraId="41B97B31" w14:textId="77777777" w:rsidR="0012573A" w:rsidRPr="00612E79" w:rsidRDefault="0012573A">
      <w:pPr>
        <w:pStyle w:val="Textkrper"/>
      </w:pPr>
    </w:p>
    <w:p w14:paraId="03B7E224" w14:textId="77777777" w:rsidR="0012573A" w:rsidRPr="00612E79" w:rsidRDefault="00CA7058">
      <w:pPr>
        <w:pStyle w:val="Listenabsatz"/>
        <w:numPr>
          <w:ilvl w:val="0"/>
          <w:numId w:val="2"/>
        </w:numPr>
        <w:tabs>
          <w:tab w:val="left" w:pos="765"/>
        </w:tabs>
        <w:jc w:val="both"/>
      </w:pPr>
      <w:r w:rsidRPr="00612E79">
        <w:t>Die Vergünstigungsregelungen gelten nicht in Gewerbe-, Industrie-, Kern- und Sonder- gebieten i. S.</w:t>
      </w:r>
      <w:r w:rsidRPr="00612E79">
        <w:t xml:space="preserve"> d. § 11 BauNVO sowie für Grundstücke in unbeplanten Gebieten, die ü- berwiegend gewerblich, industriell oder so genutzt werden, wie dies in Kern- bzw. Son- dergebieten nach § 11 BauNVO zulässig</w:t>
      </w:r>
      <w:r w:rsidRPr="00612E79">
        <w:rPr>
          <w:spacing w:val="-1"/>
        </w:rPr>
        <w:t xml:space="preserve"> </w:t>
      </w:r>
      <w:r w:rsidRPr="00612E79">
        <w:t>ist.</w:t>
      </w:r>
    </w:p>
    <w:p w14:paraId="406B42AA" w14:textId="77777777" w:rsidR="0012573A" w:rsidRPr="00612E79" w:rsidRDefault="0012573A">
      <w:pPr>
        <w:pStyle w:val="Textkrper"/>
      </w:pPr>
    </w:p>
    <w:p w14:paraId="6DE94773" w14:textId="77777777" w:rsidR="0012573A" w:rsidRPr="00612E79" w:rsidRDefault="00CA7058">
      <w:pPr>
        <w:pStyle w:val="Listenabsatz"/>
        <w:numPr>
          <w:ilvl w:val="0"/>
          <w:numId w:val="2"/>
        </w:numPr>
        <w:tabs>
          <w:tab w:val="left" w:pos="765"/>
        </w:tabs>
        <w:jc w:val="both"/>
      </w:pPr>
      <w:r w:rsidRPr="00612E79">
        <w:t>Mehrfach erschlossene Grundstücke sind bei gemeinsamer Aufwandsermittlung in einer Erschließungseinheit (§ 130 Abs. 2 Satz 3 BauGB) bei der Verteilung des Er- schließungsaufwands nur einmal zu</w:t>
      </w:r>
      <w:r w:rsidRPr="00612E79">
        <w:rPr>
          <w:spacing w:val="1"/>
        </w:rPr>
        <w:t xml:space="preserve"> </w:t>
      </w:r>
      <w:r w:rsidRPr="00612E79">
        <w:t>berücksichtigen.</w:t>
      </w:r>
    </w:p>
    <w:p w14:paraId="296702DC" w14:textId="77777777" w:rsidR="0012573A" w:rsidRPr="00612E79" w:rsidRDefault="0012573A">
      <w:pPr>
        <w:pStyle w:val="Textkrper"/>
        <w:rPr>
          <w:sz w:val="24"/>
        </w:rPr>
      </w:pPr>
    </w:p>
    <w:p w14:paraId="6FE583F7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530496F6" w14:textId="77777777" w:rsidR="0012573A" w:rsidRPr="00612E79" w:rsidRDefault="00CA7058">
      <w:pPr>
        <w:pStyle w:val="berschrift1"/>
        <w:ind w:right="2340"/>
      </w:pPr>
      <w:r w:rsidRPr="00612E79">
        <w:t>§ 11</w:t>
      </w:r>
    </w:p>
    <w:p w14:paraId="72203B7F" w14:textId="77777777" w:rsidR="0012573A" w:rsidRDefault="00CA7058">
      <w:pPr>
        <w:spacing w:line="252" w:lineRule="exact"/>
        <w:ind w:left="2346" w:right="2342"/>
        <w:jc w:val="center"/>
        <w:rPr>
          <w:b/>
        </w:rPr>
      </w:pPr>
      <w:r>
        <w:rPr>
          <w:b/>
        </w:rPr>
        <w:t>Kostenspaltung</w:t>
      </w:r>
    </w:p>
    <w:p w14:paraId="59977910" w14:textId="77777777" w:rsidR="0012573A" w:rsidRPr="00612E79" w:rsidRDefault="0012573A">
      <w:pPr>
        <w:pStyle w:val="Textkrper"/>
        <w:spacing w:before="3"/>
        <w:rPr>
          <w:b/>
        </w:rPr>
      </w:pPr>
    </w:p>
    <w:p w14:paraId="230C3374" w14:textId="77777777" w:rsidR="0012573A" w:rsidRPr="00612E79" w:rsidRDefault="00CA7058">
      <w:pPr>
        <w:pStyle w:val="Textkrper"/>
        <w:ind w:left="198" w:right="187"/>
        <w:jc w:val="both"/>
      </w:pPr>
      <w:r w:rsidRPr="00612E79">
        <w:t>Der Gemeindevorstand kann bestimmen, dass der Beitrag für einzelne Teile, nämlich Grunderwerb, Freilegung, Fahrbahn, Radwege, Gehwege, Parkflächen, Grünanlagen, Be- leuchtungs- oder Entwässerungseinrichtungen selbständig erhoben wird.</w:t>
      </w:r>
    </w:p>
    <w:p w14:paraId="261EBE69" w14:textId="77777777" w:rsidR="0012573A" w:rsidRPr="00612E79" w:rsidRDefault="0012573A">
      <w:pPr>
        <w:pStyle w:val="Textkrper"/>
        <w:rPr>
          <w:sz w:val="24"/>
        </w:rPr>
      </w:pPr>
    </w:p>
    <w:p w14:paraId="047B90C0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136CB79F" w14:textId="77777777" w:rsidR="0012573A" w:rsidRDefault="00CA7058">
      <w:pPr>
        <w:pStyle w:val="berschrift1"/>
        <w:ind w:right="2340"/>
      </w:pPr>
      <w:r>
        <w:t>§ 12</w:t>
      </w:r>
    </w:p>
    <w:p w14:paraId="4CCD0622" w14:textId="77777777" w:rsidR="0012573A" w:rsidRDefault="00CA7058">
      <w:pPr>
        <w:spacing w:line="252" w:lineRule="exact"/>
        <w:ind w:left="2346" w:right="2340"/>
        <w:jc w:val="center"/>
        <w:rPr>
          <w:b/>
        </w:rPr>
      </w:pPr>
      <w:r>
        <w:rPr>
          <w:b/>
        </w:rPr>
        <w:t>Merkmale der e</w:t>
      </w:r>
      <w:r>
        <w:rPr>
          <w:b/>
        </w:rPr>
        <w:t>ndgültigen Herstellung</w:t>
      </w:r>
    </w:p>
    <w:p w14:paraId="7071291B" w14:textId="77777777" w:rsidR="0012573A" w:rsidRDefault="0012573A">
      <w:pPr>
        <w:pStyle w:val="Textkrper"/>
        <w:spacing w:before="3"/>
        <w:rPr>
          <w:b/>
        </w:rPr>
      </w:pPr>
    </w:p>
    <w:p w14:paraId="4042DA15" w14:textId="77777777" w:rsidR="0012573A" w:rsidRPr="00612E79" w:rsidRDefault="00CA7058">
      <w:pPr>
        <w:pStyle w:val="Listenabsatz"/>
        <w:numPr>
          <w:ilvl w:val="0"/>
          <w:numId w:val="1"/>
        </w:numPr>
        <w:tabs>
          <w:tab w:val="left" w:pos="765"/>
        </w:tabs>
        <w:jc w:val="both"/>
      </w:pPr>
      <w:r w:rsidRPr="00612E79">
        <w:t xml:space="preserve">Erschließungsanlagen i. S. d. § 127 Abs. 2 Nr. 1 bis 3 BauGB sind endgültig herge- stellt, wenn ihre Flächen Eigentum der Gemeinde sind, Fahrbahn und beidseitige Gehwege mit jeweils Unterbau und Decke (diese kann aus Asphalt, Teer, </w:t>
      </w:r>
      <w:r w:rsidRPr="00612E79">
        <w:t>Beton,</w:t>
      </w:r>
      <w:r w:rsidRPr="00612E79">
        <w:rPr>
          <w:spacing w:val="8"/>
        </w:rPr>
        <w:t xml:space="preserve"> </w:t>
      </w:r>
      <w:r w:rsidRPr="00612E79">
        <w:t>Pflas-</w:t>
      </w:r>
    </w:p>
    <w:p w14:paraId="5FB53969" w14:textId="77777777" w:rsidR="0012573A" w:rsidRDefault="0012573A">
      <w:pPr>
        <w:jc w:val="both"/>
        <w:sectPr w:rsidR="0012573A">
          <w:pgSz w:w="11900" w:h="16840"/>
          <w:pgMar w:top="1600" w:right="1220" w:bottom="280" w:left="1220" w:header="692" w:footer="0" w:gutter="0"/>
          <w:cols w:space="720"/>
        </w:sectPr>
      </w:pPr>
    </w:p>
    <w:p w14:paraId="46684C8F" w14:textId="77777777" w:rsidR="0012573A" w:rsidRPr="00612E79" w:rsidRDefault="00CA7058">
      <w:pPr>
        <w:pStyle w:val="Textkrper"/>
        <w:spacing w:before="99"/>
        <w:ind w:left="764" w:right="187"/>
        <w:jc w:val="both"/>
      </w:pPr>
      <w:r w:rsidRPr="00612E79">
        <w:lastRenderedPageBreak/>
        <w:t>ter, Platten oder einem ähnlichen Material neuzeitlicher Bauweise bestehen), Entwäs- serungs- und Beleuchtungseinrichtungen aufweisen; bei Verkehrsanlagen i. S. d. § 127 Abs. 2 Nr. 2 BauGB tritt an die Stelle von Fahrbahn un</w:t>
      </w:r>
      <w:r w:rsidRPr="00612E79">
        <w:t>d beidseitigen Gehwegen die nicht befahrbare Verkehrsfläche.</w:t>
      </w:r>
    </w:p>
    <w:p w14:paraId="2A4DD481" w14:textId="77777777" w:rsidR="0012573A" w:rsidRPr="00612E79" w:rsidRDefault="0012573A">
      <w:pPr>
        <w:pStyle w:val="Textkrper"/>
      </w:pPr>
    </w:p>
    <w:p w14:paraId="06DE2871" w14:textId="77777777" w:rsidR="0012573A" w:rsidRPr="00612E79" w:rsidRDefault="00CA7058">
      <w:pPr>
        <w:pStyle w:val="Listenabsatz"/>
        <w:numPr>
          <w:ilvl w:val="0"/>
          <w:numId w:val="1"/>
        </w:numPr>
        <w:tabs>
          <w:tab w:val="left" w:pos="765"/>
        </w:tabs>
        <w:ind w:right="187"/>
        <w:jc w:val="both"/>
      </w:pPr>
      <w:r w:rsidRPr="00612E79">
        <w:t>Parkflächen und Grünanlagen sind endgültig hergestellt, wenn ihre Flächen im Eigen- tum der Gemeinde stehen und erstere i. S. d. Abs. 1 befestigt, mit Entwässerungs- und Beleuchtungseinrichtungen versehen bzw. letztere gärtnerisch gestaltet</w:t>
      </w:r>
      <w:r w:rsidRPr="00612E79">
        <w:rPr>
          <w:spacing w:val="-12"/>
        </w:rPr>
        <w:t xml:space="preserve"> </w:t>
      </w:r>
      <w:r w:rsidRPr="00612E79">
        <w:t>sind.</w:t>
      </w:r>
    </w:p>
    <w:p w14:paraId="13C226C8" w14:textId="77777777" w:rsidR="0012573A" w:rsidRPr="00612E79" w:rsidRDefault="0012573A">
      <w:pPr>
        <w:pStyle w:val="Textkrper"/>
        <w:spacing w:before="10"/>
        <w:rPr>
          <w:sz w:val="21"/>
        </w:rPr>
      </w:pPr>
    </w:p>
    <w:p w14:paraId="1A56952F" w14:textId="77777777" w:rsidR="0012573A" w:rsidRPr="00612E79" w:rsidRDefault="00CA7058">
      <w:pPr>
        <w:pStyle w:val="Listenabsatz"/>
        <w:numPr>
          <w:ilvl w:val="0"/>
          <w:numId w:val="1"/>
        </w:numPr>
        <w:tabs>
          <w:tab w:val="left" w:pos="765"/>
        </w:tabs>
        <w:jc w:val="both"/>
      </w:pPr>
      <w:r w:rsidRPr="00612E79">
        <w:t>Die Geme</w:t>
      </w:r>
      <w:r w:rsidRPr="00612E79">
        <w:t>inde kann durch Abweichungssatzung bestimmen, dass einzelne Teileinrich- tungen ganz oder teilweise wegfallen bzw. die Herstellung abweichend von den Be- stimmungen der Abs. 1 und 2 geringwertiger oder andersartig (z. B. verkehrsberuhigter Bereich) vorgeno</w:t>
      </w:r>
      <w:r w:rsidRPr="00612E79">
        <w:t>mmen</w:t>
      </w:r>
      <w:r w:rsidRPr="00612E79">
        <w:rPr>
          <w:spacing w:val="-3"/>
        </w:rPr>
        <w:t xml:space="preserve"> </w:t>
      </w:r>
      <w:r w:rsidRPr="00612E79">
        <w:t>wird.</w:t>
      </w:r>
    </w:p>
    <w:p w14:paraId="06A5ED57" w14:textId="77777777" w:rsidR="0012573A" w:rsidRPr="00612E79" w:rsidRDefault="0012573A">
      <w:pPr>
        <w:pStyle w:val="Textkrper"/>
        <w:rPr>
          <w:sz w:val="24"/>
        </w:rPr>
      </w:pPr>
    </w:p>
    <w:p w14:paraId="268EDE1A" w14:textId="77777777" w:rsidR="0012573A" w:rsidRPr="00612E79" w:rsidRDefault="0012573A">
      <w:pPr>
        <w:pStyle w:val="Textkrper"/>
        <w:spacing w:before="10"/>
        <w:rPr>
          <w:sz w:val="19"/>
        </w:rPr>
      </w:pPr>
    </w:p>
    <w:p w14:paraId="51EB4776" w14:textId="77777777" w:rsidR="0012573A" w:rsidRPr="00612E79" w:rsidRDefault="00CA7058">
      <w:pPr>
        <w:pStyle w:val="berschrift1"/>
        <w:ind w:right="2340"/>
      </w:pPr>
      <w:r w:rsidRPr="00612E79">
        <w:t>§ 13</w:t>
      </w:r>
    </w:p>
    <w:p w14:paraId="4A2166AA" w14:textId="77777777" w:rsidR="0012573A" w:rsidRDefault="00CA7058">
      <w:pPr>
        <w:spacing w:line="252" w:lineRule="exact"/>
        <w:ind w:left="2346" w:right="2340"/>
        <w:jc w:val="center"/>
        <w:rPr>
          <w:b/>
        </w:rPr>
      </w:pPr>
      <w:r>
        <w:rPr>
          <w:b/>
        </w:rPr>
        <w:t>Immissionsschutzanlagen</w:t>
      </w:r>
    </w:p>
    <w:p w14:paraId="7E6C57B4" w14:textId="77777777" w:rsidR="0012573A" w:rsidRPr="00612E79" w:rsidRDefault="0012573A">
      <w:pPr>
        <w:pStyle w:val="Textkrper"/>
        <w:spacing w:before="3"/>
        <w:rPr>
          <w:b/>
        </w:rPr>
      </w:pPr>
    </w:p>
    <w:p w14:paraId="1D6D8D54" w14:textId="77777777" w:rsidR="0012573A" w:rsidRPr="00612E79" w:rsidRDefault="00CA7058">
      <w:pPr>
        <w:pStyle w:val="Textkrper"/>
        <w:ind w:left="198" w:right="189"/>
        <w:jc w:val="both"/>
      </w:pPr>
      <w:r w:rsidRPr="00612E79">
        <w:t>Art, Umfang und Herstellungsmerkmale von Anlagen zum Schutz von Baugebieten gegen schädliche Umwelteinwirkungen im Sinne des Bundes-Immissionsschutzgesetzes werden durch ergänzende Satzung geregelt.</w:t>
      </w:r>
    </w:p>
    <w:p w14:paraId="0ED38997" w14:textId="77777777" w:rsidR="0012573A" w:rsidRPr="00612E79" w:rsidRDefault="0012573A">
      <w:pPr>
        <w:pStyle w:val="Textkrper"/>
        <w:rPr>
          <w:sz w:val="24"/>
        </w:rPr>
      </w:pPr>
    </w:p>
    <w:p w14:paraId="64521090" w14:textId="77777777" w:rsidR="0012573A" w:rsidRPr="00612E79" w:rsidRDefault="0012573A">
      <w:pPr>
        <w:pStyle w:val="Textkrper"/>
        <w:spacing w:before="9"/>
        <w:rPr>
          <w:sz w:val="19"/>
        </w:rPr>
      </w:pPr>
    </w:p>
    <w:p w14:paraId="3B5252AF" w14:textId="77777777" w:rsidR="0012573A" w:rsidRPr="00612E79" w:rsidRDefault="00CA7058">
      <w:pPr>
        <w:pStyle w:val="berschrift1"/>
        <w:spacing w:line="240" w:lineRule="auto"/>
        <w:ind w:right="2340"/>
      </w:pPr>
      <w:r w:rsidRPr="00612E79">
        <w:t>§ 14</w:t>
      </w:r>
    </w:p>
    <w:p w14:paraId="603ACC67" w14:textId="77777777" w:rsidR="0012573A" w:rsidRDefault="00CA7058">
      <w:pPr>
        <w:spacing w:before="2"/>
        <w:ind w:left="2346" w:right="2342"/>
        <w:jc w:val="center"/>
        <w:rPr>
          <w:b/>
        </w:rPr>
      </w:pPr>
      <w:r>
        <w:rPr>
          <w:b/>
        </w:rPr>
        <w:t>Vorausl</w:t>
      </w:r>
      <w:r>
        <w:rPr>
          <w:b/>
        </w:rPr>
        <w:t>eistungen</w:t>
      </w:r>
    </w:p>
    <w:p w14:paraId="4AC07A89" w14:textId="77777777" w:rsidR="0012573A" w:rsidRPr="00612E79" w:rsidRDefault="0012573A">
      <w:pPr>
        <w:pStyle w:val="Textkrper"/>
        <w:rPr>
          <w:b/>
        </w:rPr>
      </w:pPr>
    </w:p>
    <w:p w14:paraId="5529C1EB" w14:textId="77777777" w:rsidR="0012573A" w:rsidRPr="00612E79" w:rsidRDefault="00CA7058">
      <w:pPr>
        <w:pStyle w:val="Textkrper"/>
        <w:ind w:left="198"/>
        <w:jc w:val="both"/>
      </w:pPr>
      <w:r w:rsidRPr="00612E79">
        <w:t>Vorausleistungen können bis zur Höhe des voraussichtlichen Beitrags erhoben werden.</w:t>
      </w:r>
    </w:p>
    <w:p w14:paraId="3E0140A5" w14:textId="77777777" w:rsidR="0012573A" w:rsidRPr="00612E79" w:rsidRDefault="0012573A">
      <w:pPr>
        <w:pStyle w:val="Textkrper"/>
        <w:rPr>
          <w:sz w:val="24"/>
        </w:rPr>
      </w:pPr>
    </w:p>
    <w:p w14:paraId="5119BF79" w14:textId="77777777" w:rsidR="0012573A" w:rsidRPr="00612E79" w:rsidRDefault="0012573A">
      <w:pPr>
        <w:pStyle w:val="Textkrper"/>
        <w:spacing w:before="11"/>
        <w:rPr>
          <w:sz w:val="19"/>
        </w:rPr>
      </w:pPr>
    </w:p>
    <w:p w14:paraId="63D37460" w14:textId="77777777" w:rsidR="0012573A" w:rsidRPr="00612E79" w:rsidRDefault="00CA7058">
      <w:pPr>
        <w:pStyle w:val="berschrift1"/>
        <w:ind w:right="2340"/>
      </w:pPr>
      <w:r w:rsidRPr="00612E79">
        <w:t>§ 15</w:t>
      </w:r>
    </w:p>
    <w:p w14:paraId="42246489" w14:textId="77777777" w:rsidR="0012573A" w:rsidRDefault="00CA7058">
      <w:pPr>
        <w:spacing w:line="252" w:lineRule="exact"/>
        <w:ind w:left="2346" w:right="2342"/>
        <w:jc w:val="center"/>
        <w:rPr>
          <w:b/>
        </w:rPr>
      </w:pPr>
      <w:r>
        <w:rPr>
          <w:b/>
        </w:rPr>
        <w:t>Ablösung</w:t>
      </w:r>
    </w:p>
    <w:p w14:paraId="0931B78F" w14:textId="77777777" w:rsidR="0012573A" w:rsidRPr="00612E79" w:rsidRDefault="0012573A">
      <w:pPr>
        <w:pStyle w:val="Textkrper"/>
        <w:spacing w:before="3"/>
        <w:rPr>
          <w:b/>
        </w:rPr>
      </w:pPr>
    </w:p>
    <w:p w14:paraId="535BAFFB" w14:textId="77777777" w:rsidR="0012573A" w:rsidRPr="00612E79" w:rsidRDefault="00CA7058">
      <w:pPr>
        <w:pStyle w:val="Textkrper"/>
        <w:ind w:left="198" w:right="186"/>
        <w:jc w:val="both"/>
      </w:pPr>
      <w:r w:rsidRPr="00612E79">
        <w:t>Der Ablösungsbetrag bestimmt sich nach der Höhe des voraussichtlich entstehenden Bei- trags. Ein Rechtsanspruch auf Ablösung besteht nicht.</w:t>
      </w:r>
    </w:p>
    <w:p w14:paraId="7F7B1183" w14:textId="77777777" w:rsidR="0012573A" w:rsidRPr="00612E79" w:rsidRDefault="0012573A">
      <w:pPr>
        <w:pStyle w:val="Textkrper"/>
        <w:rPr>
          <w:sz w:val="24"/>
        </w:rPr>
      </w:pPr>
    </w:p>
    <w:p w14:paraId="2F5BCCEC" w14:textId="77777777" w:rsidR="0012573A" w:rsidRPr="00612E79" w:rsidRDefault="0012573A">
      <w:pPr>
        <w:pStyle w:val="Textkrper"/>
        <w:spacing w:before="7"/>
        <w:rPr>
          <w:sz w:val="19"/>
        </w:rPr>
      </w:pPr>
    </w:p>
    <w:p w14:paraId="6FD136CC" w14:textId="77777777" w:rsidR="0012573A" w:rsidRPr="00612E79" w:rsidRDefault="00CA7058">
      <w:pPr>
        <w:pStyle w:val="berschrift1"/>
        <w:spacing w:line="240" w:lineRule="auto"/>
        <w:ind w:right="2340"/>
      </w:pPr>
      <w:r w:rsidRPr="00612E79">
        <w:t>§ 16</w:t>
      </w:r>
    </w:p>
    <w:p w14:paraId="483031BC" w14:textId="77777777" w:rsidR="0012573A" w:rsidRDefault="00CA7058">
      <w:pPr>
        <w:spacing w:before="2"/>
        <w:ind w:left="2346" w:right="2340"/>
        <w:jc w:val="center"/>
        <w:rPr>
          <w:b/>
        </w:rPr>
      </w:pPr>
      <w:r>
        <w:rPr>
          <w:b/>
        </w:rPr>
        <w:t>In-Kraft-Treten</w:t>
      </w:r>
    </w:p>
    <w:p w14:paraId="7BF0DC6C" w14:textId="77777777" w:rsidR="0012573A" w:rsidRPr="00612E79" w:rsidRDefault="0012573A">
      <w:pPr>
        <w:pStyle w:val="Textkrper"/>
        <w:spacing w:before="2"/>
        <w:rPr>
          <w:b/>
        </w:rPr>
      </w:pPr>
    </w:p>
    <w:p w14:paraId="62452759" w14:textId="77777777" w:rsidR="0012573A" w:rsidRPr="00612E79" w:rsidRDefault="00CA7058">
      <w:pPr>
        <w:pStyle w:val="Textkrper"/>
        <w:spacing w:before="1"/>
        <w:ind w:left="198" w:right="189"/>
        <w:jc w:val="both"/>
      </w:pPr>
      <w:r w:rsidRPr="00612E79">
        <w:t>Diese Satzung tritt am 01. August 2006 in Kraft. Gleichzeitig tritt damit die bisherige Satz</w:t>
      </w:r>
      <w:r w:rsidRPr="00612E79">
        <w:t>ung vom 02. Juni 1987 außer Kraft.</w:t>
      </w:r>
    </w:p>
    <w:p w14:paraId="120374F3" w14:textId="77777777" w:rsidR="0012573A" w:rsidRPr="00612E79" w:rsidRDefault="0012573A">
      <w:pPr>
        <w:pStyle w:val="Textkrper"/>
        <w:spacing w:before="4"/>
      </w:pPr>
    </w:p>
    <w:p w14:paraId="29AA4C2B" w14:textId="77777777" w:rsidR="0012573A" w:rsidRPr="00612E79" w:rsidRDefault="00CA7058">
      <w:pPr>
        <w:pStyle w:val="Textkrper"/>
        <w:spacing w:line="500" w:lineRule="atLeast"/>
        <w:ind w:left="198" w:right="6379"/>
      </w:pPr>
      <w:r w:rsidRPr="00612E79">
        <w:t>Kaufungen, den 27. Juli 2006 Der Gemeindevorstand</w:t>
      </w:r>
    </w:p>
    <w:p w14:paraId="0538E8D0" w14:textId="77777777" w:rsidR="0012573A" w:rsidRDefault="00CA7058">
      <w:pPr>
        <w:pStyle w:val="Textkrper"/>
        <w:tabs>
          <w:tab w:val="left" w:pos="3743"/>
        </w:tabs>
        <w:spacing w:before="8"/>
        <w:ind w:left="198" w:right="4856"/>
      </w:pPr>
      <w:r w:rsidRPr="00612E79">
        <w:t>der</w:t>
      </w:r>
      <w:r w:rsidRPr="00612E79">
        <w:rPr>
          <w:spacing w:val="-3"/>
        </w:rPr>
        <w:t xml:space="preserve"> </w:t>
      </w:r>
      <w:r w:rsidRPr="00612E79">
        <w:t>Gemeinde</w:t>
      </w:r>
      <w:r w:rsidRPr="00612E79">
        <w:rPr>
          <w:spacing w:val="-3"/>
        </w:rPr>
        <w:t xml:space="preserve"> </w:t>
      </w:r>
      <w:r w:rsidRPr="00612E79">
        <w:t>Kaufungen</w:t>
      </w:r>
      <w:r w:rsidRPr="00612E79">
        <w:tab/>
        <w:t xml:space="preserve">[ Siegel </w:t>
      </w:r>
      <w:r w:rsidRPr="00612E79">
        <w:rPr>
          <w:spacing w:val="-16"/>
        </w:rPr>
        <w:t xml:space="preserve">] </w:t>
      </w:r>
      <w:r w:rsidRPr="00612E79">
        <w:t xml:space="preserve">gez. </w:t>
      </w:r>
      <w:r>
        <w:t>P.</w:t>
      </w:r>
      <w:r>
        <w:rPr>
          <w:spacing w:val="3"/>
        </w:rPr>
        <w:t xml:space="preserve"> </w:t>
      </w:r>
      <w:r>
        <w:t>Klein</w:t>
      </w:r>
    </w:p>
    <w:p w14:paraId="73482935" w14:textId="77777777" w:rsidR="0012573A" w:rsidRDefault="00CA7058">
      <w:pPr>
        <w:pStyle w:val="Textkrper"/>
        <w:spacing w:line="251" w:lineRule="exact"/>
        <w:ind w:left="198"/>
      </w:pPr>
      <w:r>
        <w:t>Bürgermeister</w:t>
      </w:r>
    </w:p>
    <w:sectPr w:rsidR="0012573A">
      <w:pgSz w:w="11900" w:h="16840"/>
      <w:pgMar w:top="1600" w:right="1220" w:bottom="280" w:left="122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476E" w14:textId="77777777" w:rsidR="00CA7058" w:rsidRDefault="00CA7058">
      <w:r>
        <w:separator/>
      </w:r>
    </w:p>
  </w:endnote>
  <w:endnote w:type="continuationSeparator" w:id="0">
    <w:p w14:paraId="5D1B471D" w14:textId="77777777" w:rsidR="00CA7058" w:rsidRDefault="00CA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061C" w14:textId="77777777" w:rsidR="00CA7058" w:rsidRDefault="00CA7058">
      <w:r>
        <w:separator/>
      </w:r>
    </w:p>
  </w:footnote>
  <w:footnote w:type="continuationSeparator" w:id="0">
    <w:p w14:paraId="57D7F43F" w14:textId="77777777" w:rsidR="00CA7058" w:rsidRDefault="00CA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F29F" w14:textId="3693FDC4" w:rsidR="0012573A" w:rsidRDefault="00612E7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18DCA" wp14:editId="6B33A028">
              <wp:simplePos x="0" y="0"/>
              <wp:positionH relativeFrom="page">
                <wp:posOffset>6563995</wp:posOffset>
              </wp:positionH>
              <wp:positionV relativeFrom="page">
                <wp:posOffset>439420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E33C6" w14:textId="77777777" w:rsidR="0012573A" w:rsidRDefault="00CA7058">
                          <w:pPr>
                            <w:spacing w:before="28" w:line="192" w:lineRule="exact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8D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34.6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" filled="f" stroked="f">
              <v:textbox inset="0,0,0,0">
                <w:txbxContent>
                  <w:p w14:paraId="107E33C6" w14:textId="77777777" w:rsidR="0012573A" w:rsidRDefault="00CA7058">
                    <w:pPr>
                      <w:spacing w:before="28" w:line="192" w:lineRule="exact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2BD"/>
    <w:multiLevelType w:val="hybridMultilevel"/>
    <w:tmpl w:val="2C400276"/>
    <w:lvl w:ilvl="0" w:tplc="DC7896CA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1543178">
      <w:numFmt w:val="bullet"/>
      <w:lvlText w:val="•"/>
      <w:lvlJc w:val="left"/>
      <w:pPr>
        <w:ind w:left="1630" w:hanging="567"/>
      </w:pPr>
      <w:rPr>
        <w:rFonts w:hint="default"/>
      </w:rPr>
    </w:lvl>
    <w:lvl w:ilvl="2" w:tplc="3B0A5118">
      <w:numFmt w:val="bullet"/>
      <w:lvlText w:val="•"/>
      <w:lvlJc w:val="left"/>
      <w:pPr>
        <w:ind w:left="2500" w:hanging="567"/>
      </w:pPr>
      <w:rPr>
        <w:rFonts w:hint="default"/>
      </w:rPr>
    </w:lvl>
    <w:lvl w:ilvl="3" w:tplc="776E5BF2">
      <w:numFmt w:val="bullet"/>
      <w:lvlText w:val="•"/>
      <w:lvlJc w:val="left"/>
      <w:pPr>
        <w:ind w:left="3370" w:hanging="567"/>
      </w:pPr>
      <w:rPr>
        <w:rFonts w:hint="default"/>
      </w:rPr>
    </w:lvl>
    <w:lvl w:ilvl="4" w:tplc="EAC2BCB0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4B046D94">
      <w:numFmt w:val="bullet"/>
      <w:lvlText w:val="•"/>
      <w:lvlJc w:val="left"/>
      <w:pPr>
        <w:ind w:left="5110" w:hanging="567"/>
      </w:pPr>
      <w:rPr>
        <w:rFonts w:hint="default"/>
      </w:rPr>
    </w:lvl>
    <w:lvl w:ilvl="6" w:tplc="5EC4F52E">
      <w:numFmt w:val="bullet"/>
      <w:lvlText w:val="•"/>
      <w:lvlJc w:val="left"/>
      <w:pPr>
        <w:ind w:left="5980" w:hanging="567"/>
      </w:pPr>
      <w:rPr>
        <w:rFonts w:hint="default"/>
      </w:rPr>
    </w:lvl>
    <w:lvl w:ilvl="7" w:tplc="97982756">
      <w:numFmt w:val="bullet"/>
      <w:lvlText w:val="•"/>
      <w:lvlJc w:val="left"/>
      <w:pPr>
        <w:ind w:left="6850" w:hanging="567"/>
      </w:pPr>
      <w:rPr>
        <w:rFonts w:hint="default"/>
      </w:rPr>
    </w:lvl>
    <w:lvl w:ilvl="8" w:tplc="776CD9A6">
      <w:numFmt w:val="bullet"/>
      <w:lvlText w:val="•"/>
      <w:lvlJc w:val="left"/>
      <w:pPr>
        <w:ind w:left="7720" w:hanging="567"/>
      </w:pPr>
      <w:rPr>
        <w:rFonts w:hint="default"/>
      </w:rPr>
    </w:lvl>
  </w:abstractNum>
  <w:abstractNum w:abstractNumId="1" w15:restartNumberingAfterBreak="0">
    <w:nsid w:val="2A524C22"/>
    <w:multiLevelType w:val="hybridMultilevel"/>
    <w:tmpl w:val="083898A0"/>
    <w:lvl w:ilvl="0" w:tplc="DBFC1170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F5031E8">
      <w:numFmt w:val="bullet"/>
      <w:lvlText w:val="•"/>
      <w:lvlJc w:val="left"/>
      <w:pPr>
        <w:ind w:left="1630" w:hanging="567"/>
      </w:pPr>
      <w:rPr>
        <w:rFonts w:hint="default"/>
      </w:rPr>
    </w:lvl>
    <w:lvl w:ilvl="2" w:tplc="DF06A044">
      <w:numFmt w:val="bullet"/>
      <w:lvlText w:val="•"/>
      <w:lvlJc w:val="left"/>
      <w:pPr>
        <w:ind w:left="2500" w:hanging="567"/>
      </w:pPr>
      <w:rPr>
        <w:rFonts w:hint="default"/>
      </w:rPr>
    </w:lvl>
    <w:lvl w:ilvl="3" w:tplc="DB249630">
      <w:numFmt w:val="bullet"/>
      <w:lvlText w:val="•"/>
      <w:lvlJc w:val="left"/>
      <w:pPr>
        <w:ind w:left="3370" w:hanging="567"/>
      </w:pPr>
      <w:rPr>
        <w:rFonts w:hint="default"/>
      </w:rPr>
    </w:lvl>
    <w:lvl w:ilvl="4" w:tplc="3724BDE0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CC705ED4">
      <w:numFmt w:val="bullet"/>
      <w:lvlText w:val="•"/>
      <w:lvlJc w:val="left"/>
      <w:pPr>
        <w:ind w:left="5110" w:hanging="567"/>
      </w:pPr>
      <w:rPr>
        <w:rFonts w:hint="default"/>
      </w:rPr>
    </w:lvl>
    <w:lvl w:ilvl="6" w:tplc="52527EA6">
      <w:numFmt w:val="bullet"/>
      <w:lvlText w:val="•"/>
      <w:lvlJc w:val="left"/>
      <w:pPr>
        <w:ind w:left="5980" w:hanging="567"/>
      </w:pPr>
      <w:rPr>
        <w:rFonts w:hint="default"/>
      </w:rPr>
    </w:lvl>
    <w:lvl w:ilvl="7" w:tplc="315E4D6E">
      <w:numFmt w:val="bullet"/>
      <w:lvlText w:val="•"/>
      <w:lvlJc w:val="left"/>
      <w:pPr>
        <w:ind w:left="6850" w:hanging="567"/>
      </w:pPr>
      <w:rPr>
        <w:rFonts w:hint="default"/>
      </w:rPr>
    </w:lvl>
    <w:lvl w:ilvl="8" w:tplc="F7005930">
      <w:numFmt w:val="bullet"/>
      <w:lvlText w:val="•"/>
      <w:lvlJc w:val="left"/>
      <w:pPr>
        <w:ind w:left="7720" w:hanging="567"/>
      </w:pPr>
      <w:rPr>
        <w:rFonts w:hint="default"/>
      </w:rPr>
    </w:lvl>
  </w:abstractNum>
  <w:abstractNum w:abstractNumId="2" w15:restartNumberingAfterBreak="0">
    <w:nsid w:val="2B10488A"/>
    <w:multiLevelType w:val="hybridMultilevel"/>
    <w:tmpl w:val="33D25B14"/>
    <w:lvl w:ilvl="0" w:tplc="7738FD24">
      <w:start w:val="2"/>
      <w:numFmt w:val="lowerLetter"/>
      <w:lvlText w:val="%1)"/>
      <w:lvlJc w:val="left"/>
      <w:pPr>
        <w:ind w:left="786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7E61154">
      <w:numFmt w:val="bullet"/>
      <w:lvlText w:val="•"/>
      <w:lvlJc w:val="left"/>
      <w:pPr>
        <w:ind w:left="1111" w:hanging="372"/>
      </w:pPr>
      <w:rPr>
        <w:rFonts w:hint="default"/>
      </w:rPr>
    </w:lvl>
    <w:lvl w:ilvl="2" w:tplc="39E43920">
      <w:numFmt w:val="bullet"/>
      <w:lvlText w:val="•"/>
      <w:lvlJc w:val="left"/>
      <w:pPr>
        <w:ind w:left="1442" w:hanging="372"/>
      </w:pPr>
      <w:rPr>
        <w:rFonts w:hint="default"/>
      </w:rPr>
    </w:lvl>
    <w:lvl w:ilvl="3" w:tplc="07DCF6AE">
      <w:numFmt w:val="bullet"/>
      <w:lvlText w:val="•"/>
      <w:lvlJc w:val="left"/>
      <w:pPr>
        <w:ind w:left="1773" w:hanging="372"/>
      </w:pPr>
      <w:rPr>
        <w:rFonts w:hint="default"/>
      </w:rPr>
    </w:lvl>
    <w:lvl w:ilvl="4" w:tplc="1B7E25BA">
      <w:numFmt w:val="bullet"/>
      <w:lvlText w:val="•"/>
      <w:lvlJc w:val="left"/>
      <w:pPr>
        <w:ind w:left="2104" w:hanging="372"/>
      </w:pPr>
      <w:rPr>
        <w:rFonts w:hint="default"/>
      </w:rPr>
    </w:lvl>
    <w:lvl w:ilvl="5" w:tplc="A71C733A">
      <w:numFmt w:val="bullet"/>
      <w:lvlText w:val="•"/>
      <w:lvlJc w:val="left"/>
      <w:pPr>
        <w:ind w:left="2436" w:hanging="372"/>
      </w:pPr>
      <w:rPr>
        <w:rFonts w:hint="default"/>
      </w:rPr>
    </w:lvl>
    <w:lvl w:ilvl="6" w:tplc="E774EE9E">
      <w:numFmt w:val="bullet"/>
      <w:lvlText w:val="•"/>
      <w:lvlJc w:val="left"/>
      <w:pPr>
        <w:ind w:left="2767" w:hanging="372"/>
      </w:pPr>
      <w:rPr>
        <w:rFonts w:hint="default"/>
      </w:rPr>
    </w:lvl>
    <w:lvl w:ilvl="7" w:tplc="D24C48AC">
      <w:numFmt w:val="bullet"/>
      <w:lvlText w:val="•"/>
      <w:lvlJc w:val="left"/>
      <w:pPr>
        <w:ind w:left="3098" w:hanging="372"/>
      </w:pPr>
      <w:rPr>
        <w:rFonts w:hint="default"/>
      </w:rPr>
    </w:lvl>
    <w:lvl w:ilvl="8" w:tplc="717AF2A6">
      <w:numFmt w:val="bullet"/>
      <w:lvlText w:val="•"/>
      <w:lvlJc w:val="left"/>
      <w:pPr>
        <w:ind w:left="3429" w:hanging="372"/>
      </w:pPr>
      <w:rPr>
        <w:rFonts w:hint="default"/>
      </w:rPr>
    </w:lvl>
  </w:abstractNum>
  <w:abstractNum w:abstractNumId="3" w15:restartNumberingAfterBreak="0">
    <w:nsid w:val="306B238D"/>
    <w:multiLevelType w:val="hybridMultilevel"/>
    <w:tmpl w:val="1A744C70"/>
    <w:lvl w:ilvl="0" w:tplc="DCD21884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8EC588E">
      <w:start w:val="1"/>
      <w:numFmt w:val="lowerLetter"/>
      <w:lvlText w:val="%2)"/>
      <w:lvlJc w:val="left"/>
      <w:pPr>
        <w:ind w:left="11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0AA66D6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772C60D4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3E4EC110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0388B47E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B52CE26E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35CAE7EE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47864112"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4" w15:restartNumberingAfterBreak="0">
    <w:nsid w:val="3C537A59"/>
    <w:multiLevelType w:val="hybridMultilevel"/>
    <w:tmpl w:val="D1EE1200"/>
    <w:lvl w:ilvl="0" w:tplc="F1C23786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CC123C">
      <w:start w:val="1"/>
      <w:numFmt w:val="lowerLetter"/>
      <w:lvlText w:val="%2)"/>
      <w:lvlJc w:val="left"/>
      <w:pPr>
        <w:ind w:left="11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5B2C242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D1BCB146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5560DE76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DAFEF9B4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F7A07A6A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A9F6E38A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E9C821A6"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 w15:restartNumberingAfterBreak="0">
    <w:nsid w:val="46ED45AC"/>
    <w:multiLevelType w:val="hybridMultilevel"/>
    <w:tmpl w:val="1396DDB8"/>
    <w:lvl w:ilvl="0" w:tplc="8B7A2B10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E446CB6">
      <w:numFmt w:val="bullet"/>
      <w:lvlText w:val="•"/>
      <w:lvlJc w:val="left"/>
      <w:pPr>
        <w:ind w:left="1630" w:hanging="567"/>
      </w:pPr>
      <w:rPr>
        <w:rFonts w:hint="default"/>
      </w:rPr>
    </w:lvl>
    <w:lvl w:ilvl="2" w:tplc="0484BF22">
      <w:numFmt w:val="bullet"/>
      <w:lvlText w:val="•"/>
      <w:lvlJc w:val="left"/>
      <w:pPr>
        <w:ind w:left="2500" w:hanging="567"/>
      </w:pPr>
      <w:rPr>
        <w:rFonts w:hint="default"/>
      </w:rPr>
    </w:lvl>
    <w:lvl w:ilvl="3" w:tplc="0C4294CA">
      <w:numFmt w:val="bullet"/>
      <w:lvlText w:val="•"/>
      <w:lvlJc w:val="left"/>
      <w:pPr>
        <w:ind w:left="3370" w:hanging="567"/>
      </w:pPr>
      <w:rPr>
        <w:rFonts w:hint="default"/>
      </w:rPr>
    </w:lvl>
    <w:lvl w:ilvl="4" w:tplc="8402C80C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FD5EC8F4">
      <w:numFmt w:val="bullet"/>
      <w:lvlText w:val="•"/>
      <w:lvlJc w:val="left"/>
      <w:pPr>
        <w:ind w:left="5110" w:hanging="567"/>
      </w:pPr>
      <w:rPr>
        <w:rFonts w:hint="default"/>
      </w:rPr>
    </w:lvl>
    <w:lvl w:ilvl="6" w:tplc="F7201CCE">
      <w:numFmt w:val="bullet"/>
      <w:lvlText w:val="•"/>
      <w:lvlJc w:val="left"/>
      <w:pPr>
        <w:ind w:left="5980" w:hanging="567"/>
      </w:pPr>
      <w:rPr>
        <w:rFonts w:hint="default"/>
      </w:rPr>
    </w:lvl>
    <w:lvl w:ilvl="7" w:tplc="54361F8A">
      <w:numFmt w:val="bullet"/>
      <w:lvlText w:val="•"/>
      <w:lvlJc w:val="left"/>
      <w:pPr>
        <w:ind w:left="6850" w:hanging="567"/>
      </w:pPr>
      <w:rPr>
        <w:rFonts w:hint="default"/>
      </w:rPr>
    </w:lvl>
    <w:lvl w:ilvl="8" w:tplc="670A79F6">
      <w:numFmt w:val="bullet"/>
      <w:lvlText w:val="•"/>
      <w:lvlJc w:val="left"/>
      <w:pPr>
        <w:ind w:left="7720" w:hanging="567"/>
      </w:pPr>
      <w:rPr>
        <w:rFonts w:hint="default"/>
      </w:rPr>
    </w:lvl>
  </w:abstractNum>
  <w:abstractNum w:abstractNumId="6" w15:restartNumberingAfterBreak="0">
    <w:nsid w:val="65397666"/>
    <w:multiLevelType w:val="hybridMultilevel"/>
    <w:tmpl w:val="F53E087E"/>
    <w:lvl w:ilvl="0" w:tplc="39B2BAB0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6D8AE6E">
      <w:start w:val="1"/>
      <w:numFmt w:val="lowerLetter"/>
      <w:lvlText w:val="%2)"/>
      <w:lvlJc w:val="left"/>
      <w:pPr>
        <w:ind w:left="118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9DA767C">
      <w:numFmt w:val="bullet"/>
      <w:lvlText w:val="•"/>
      <w:lvlJc w:val="left"/>
      <w:pPr>
        <w:ind w:left="2100" w:hanging="425"/>
      </w:pPr>
      <w:rPr>
        <w:rFonts w:hint="default"/>
      </w:rPr>
    </w:lvl>
    <w:lvl w:ilvl="3" w:tplc="F978258A">
      <w:numFmt w:val="bullet"/>
      <w:lvlText w:val="•"/>
      <w:lvlJc w:val="left"/>
      <w:pPr>
        <w:ind w:left="3020" w:hanging="425"/>
      </w:pPr>
      <w:rPr>
        <w:rFonts w:hint="default"/>
      </w:rPr>
    </w:lvl>
    <w:lvl w:ilvl="4" w:tplc="7F8C8F7E">
      <w:numFmt w:val="bullet"/>
      <w:lvlText w:val="•"/>
      <w:lvlJc w:val="left"/>
      <w:pPr>
        <w:ind w:left="3940" w:hanging="425"/>
      </w:pPr>
      <w:rPr>
        <w:rFonts w:hint="default"/>
      </w:rPr>
    </w:lvl>
    <w:lvl w:ilvl="5" w:tplc="46F2FF32">
      <w:numFmt w:val="bullet"/>
      <w:lvlText w:val="•"/>
      <w:lvlJc w:val="left"/>
      <w:pPr>
        <w:ind w:left="4860" w:hanging="425"/>
      </w:pPr>
      <w:rPr>
        <w:rFonts w:hint="default"/>
      </w:rPr>
    </w:lvl>
    <w:lvl w:ilvl="6" w:tplc="B08210BA"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3732C72C">
      <w:numFmt w:val="bullet"/>
      <w:lvlText w:val="•"/>
      <w:lvlJc w:val="left"/>
      <w:pPr>
        <w:ind w:left="6700" w:hanging="425"/>
      </w:pPr>
      <w:rPr>
        <w:rFonts w:hint="default"/>
      </w:rPr>
    </w:lvl>
    <w:lvl w:ilvl="8" w:tplc="87787CAC">
      <w:numFmt w:val="bullet"/>
      <w:lvlText w:val="•"/>
      <w:lvlJc w:val="left"/>
      <w:pPr>
        <w:ind w:left="7620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3A"/>
    <w:rsid w:val="0012573A"/>
    <w:rsid w:val="00612E79"/>
    <w:rsid w:val="00C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712F"/>
  <w15:docId w15:val="{E0A39289-CBF0-4CFB-A067-41496B10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line="252" w:lineRule="exact"/>
      <w:ind w:left="2346" w:right="2342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764" w:right="188" w:hanging="567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1799</Words>
  <Characters>11336</Characters>
  <Application>Microsoft Office Word</Application>
  <DocSecurity>0</DocSecurity>
  <Lines>94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Erschließungsgebührensatzung 2006</dc:title>
  <dc:creator>stückrad</dc:creator>
  <cp:lastModifiedBy>Klaus Hubach</cp:lastModifiedBy>
  <cp:revision>2</cp:revision>
  <dcterms:created xsi:type="dcterms:W3CDTF">2020-07-22T07:51:00Z</dcterms:created>
  <dcterms:modified xsi:type="dcterms:W3CDTF">2020-07-22T07:51:00Z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2020-07-22T00:00:00Z</vt:filetime>
  </property>
</Properties>
</file>